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62" w:rsidRDefault="00840E62" w:rsidP="00C22091">
      <w:pPr>
        <w:spacing w:after="0" w:line="240" w:lineRule="auto"/>
        <w:jc w:val="both"/>
        <w:rPr>
          <w:lang w:val="en-US"/>
        </w:rPr>
      </w:pPr>
    </w:p>
    <w:p w:rsidR="00840E62" w:rsidRDefault="00840E62" w:rsidP="00840E62">
      <w:pPr>
        <w:spacing w:after="0" w:line="240" w:lineRule="auto"/>
        <w:jc w:val="right"/>
        <w:rPr>
          <w:lang w:val="en-US"/>
        </w:rPr>
      </w:pPr>
      <w:r>
        <w:rPr>
          <w:lang w:val="en-US"/>
        </w:rPr>
        <w:tab/>
      </w:r>
      <w:r>
        <w:rPr>
          <w:lang w:val="en-US"/>
        </w:rPr>
        <w:tab/>
        <w:t>School of Accounting Sciences</w:t>
      </w:r>
    </w:p>
    <w:p w:rsidR="00840E62" w:rsidRDefault="00840E62" w:rsidP="00840E62">
      <w:pPr>
        <w:spacing w:after="0" w:line="240" w:lineRule="auto"/>
        <w:jc w:val="right"/>
        <w:rPr>
          <w:lang w:val="en-US"/>
        </w:rPr>
      </w:pPr>
      <w:r>
        <w:rPr>
          <w:lang w:val="en-US"/>
        </w:rPr>
        <w:t>North West University</w:t>
      </w:r>
    </w:p>
    <w:p w:rsidR="00840E62" w:rsidRDefault="00840E62" w:rsidP="00840E62">
      <w:pPr>
        <w:spacing w:after="0" w:line="240" w:lineRule="auto"/>
        <w:jc w:val="right"/>
        <w:rPr>
          <w:lang w:val="en-US"/>
        </w:rPr>
      </w:pPr>
      <w:r>
        <w:rPr>
          <w:lang w:val="en-US"/>
        </w:rPr>
        <w:t>Private Bag X6001</w:t>
      </w:r>
    </w:p>
    <w:p w:rsidR="00840E62" w:rsidRDefault="00840E62" w:rsidP="00840E62">
      <w:pPr>
        <w:spacing w:after="0" w:line="240" w:lineRule="auto"/>
        <w:jc w:val="right"/>
        <w:rPr>
          <w:lang w:val="en-US"/>
        </w:rPr>
      </w:pPr>
      <w:r>
        <w:rPr>
          <w:lang w:val="en-US"/>
        </w:rPr>
        <w:t>Potchefstroom</w:t>
      </w:r>
    </w:p>
    <w:p w:rsidR="00840E62" w:rsidRDefault="00840E62" w:rsidP="00840E62">
      <w:pPr>
        <w:spacing w:after="0" w:line="240" w:lineRule="auto"/>
        <w:jc w:val="right"/>
        <w:rPr>
          <w:lang w:val="en-US"/>
        </w:rPr>
      </w:pPr>
      <w:r>
        <w:rPr>
          <w:lang w:val="en-US"/>
        </w:rPr>
        <w:t>2520</w:t>
      </w:r>
    </w:p>
    <w:p w:rsidR="00840E62" w:rsidRDefault="00840E62" w:rsidP="00C22091">
      <w:pPr>
        <w:spacing w:after="0" w:line="240" w:lineRule="auto"/>
        <w:jc w:val="both"/>
        <w:rPr>
          <w:lang w:val="en-US"/>
        </w:rPr>
      </w:pPr>
    </w:p>
    <w:p w:rsidR="00840E62" w:rsidRDefault="00840E62" w:rsidP="00C22091">
      <w:pPr>
        <w:spacing w:after="0" w:line="240" w:lineRule="auto"/>
        <w:jc w:val="both"/>
        <w:rPr>
          <w:lang w:val="en-US"/>
        </w:rPr>
      </w:pPr>
    </w:p>
    <w:p w:rsidR="00840E62" w:rsidRDefault="00840E62" w:rsidP="00470265">
      <w:pPr>
        <w:spacing w:after="0" w:line="240" w:lineRule="auto"/>
        <w:jc w:val="right"/>
        <w:rPr>
          <w:lang w:val="en-US"/>
        </w:rPr>
      </w:pPr>
    </w:p>
    <w:p w:rsidR="007A7965" w:rsidRPr="00C22091" w:rsidRDefault="007A7965" w:rsidP="007A7965">
      <w:pPr>
        <w:spacing w:after="0" w:line="240" w:lineRule="auto"/>
        <w:jc w:val="both"/>
        <w:rPr>
          <w:lang w:val="en-US"/>
        </w:rPr>
      </w:pPr>
      <w:r w:rsidRPr="00C22091">
        <w:rPr>
          <w:lang w:val="en-US"/>
        </w:rPr>
        <w:t>SAJEMS</w:t>
      </w:r>
    </w:p>
    <w:p w:rsidR="00C22091" w:rsidRPr="00C22091" w:rsidRDefault="00C22091" w:rsidP="00C22091">
      <w:pPr>
        <w:spacing w:after="0" w:line="240" w:lineRule="auto"/>
        <w:jc w:val="both"/>
        <w:rPr>
          <w:lang w:val="en-US"/>
        </w:rPr>
      </w:pPr>
      <w:r w:rsidRPr="00C22091">
        <w:rPr>
          <w:lang w:val="en-US"/>
        </w:rPr>
        <w:t>Prof Steve Koch</w:t>
      </w:r>
      <w:r w:rsidR="007A7965">
        <w:rPr>
          <w:lang w:val="en-US"/>
        </w:rPr>
        <w:t xml:space="preserve"> (Editor in chief)</w:t>
      </w:r>
    </w:p>
    <w:p w:rsidR="00C22091" w:rsidRPr="00C22091" w:rsidRDefault="00C22091" w:rsidP="00C22091">
      <w:pPr>
        <w:spacing w:after="0" w:line="240" w:lineRule="auto"/>
        <w:jc w:val="both"/>
        <w:rPr>
          <w:lang w:val="en-US"/>
        </w:rPr>
      </w:pPr>
      <w:r w:rsidRPr="00C22091">
        <w:rPr>
          <w:lang w:val="en-US"/>
        </w:rPr>
        <w:t>Department of Economics</w:t>
      </w:r>
    </w:p>
    <w:p w:rsidR="00C22091" w:rsidRPr="00C22091" w:rsidRDefault="00C22091" w:rsidP="00C22091">
      <w:pPr>
        <w:spacing w:after="0" w:line="240" w:lineRule="auto"/>
        <w:jc w:val="both"/>
        <w:rPr>
          <w:lang w:val="en-US"/>
        </w:rPr>
      </w:pPr>
      <w:r w:rsidRPr="00C22091">
        <w:rPr>
          <w:lang w:val="en-US"/>
        </w:rPr>
        <w:t>University of Pretoria</w:t>
      </w:r>
    </w:p>
    <w:p w:rsidR="00C22091" w:rsidRPr="00C22091" w:rsidRDefault="00C22091" w:rsidP="00C22091">
      <w:pPr>
        <w:spacing w:after="0" w:line="240" w:lineRule="auto"/>
        <w:jc w:val="both"/>
        <w:rPr>
          <w:lang w:val="en-US"/>
        </w:rPr>
      </w:pPr>
      <w:r w:rsidRPr="00C22091">
        <w:rPr>
          <w:lang w:val="en-US"/>
        </w:rPr>
        <w:t>PRETORIA</w:t>
      </w:r>
    </w:p>
    <w:p w:rsidR="00390A03" w:rsidRPr="00C22091" w:rsidRDefault="00C22091" w:rsidP="00C22091">
      <w:pPr>
        <w:spacing w:after="0" w:line="240" w:lineRule="auto"/>
        <w:jc w:val="both"/>
        <w:rPr>
          <w:lang w:val="en-US"/>
        </w:rPr>
      </w:pPr>
      <w:r w:rsidRPr="00C22091">
        <w:rPr>
          <w:lang w:val="en-US"/>
        </w:rPr>
        <w:t>0002</w:t>
      </w:r>
    </w:p>
    <w:p w:rsidR="00E6443D" w:rsidRDefault="00E6443D" w:rsidP="00C22091">
      <w:pPr>
        <w:jc w:val="both"/>
        <w:rPr>
          <w:lang w:val="en-US"/>
        </w:rPr>
      </w:pPr>
    </w:p>
    <w:p w:rsidR="00E6443D" w:rsidRDefault="00E6443D" w:rsidP="00C22091">
      <w:pPr>
        <w:jc w:val="both"/>
        <w:rPr>
          <w:lang w:val="en-US"/>
        </w:rPr>
      </w:pPr>
      <w:r>
        <w:rPr>
          <w:lang w:val="en-US"/>
        </w:rPr>
        <w:t xml:space="preserve">August </w:t>
      </w:r>
      <w:r w:rsidR="00840E62">
        <w:rPr>
          <w:lang w:val="en-US"/>
        </w:rPr>
        <w:t>27</w:t>
      </w:r>
      <w:r>
        <w:rPr>
          <w:lang w:val="en-US"/>
        </w:rPr>
        <w:t>, 2010</w:t>
      </w:r>
    </w:p>
    <w:p w:rsidR="00390A03" w:rsidRDefault="00390A03" w:rsidP="00C22091">
      <w:pPr>
        <w:jc w:val="both"/>
        <w:rPr>
          <w:lang w:val="en-US"/>
        </w:rPr>
      </w:pPr>
    </w:p>
    <w:p w:rsidR="002235C7" w:rsidRDefault="00166001" w:rsidP="00C22091">
      <w:pPr>
        <w:jc w:val="both"/>
        <w:rPr>
          <w:lang w:val="en-US"/>
        </w:rPr>
      </w:pPr>
      <w:r>
        <w:rPr>
          <w:lang w:val="en-US"/>
        </w:rPr>
        <w:t xml:space="preserve">Dear Prof </w:t>
      </w:r>
      <w:r w:rsidR="0087624B">
        <w:rPr>
          <w:lang w:val="en-US"/>
        </w:rPr>
        <w:t>Steve Koch</w:t>
      </w:r>
      <w:r w:rsidR="00840E62">
        <w:rPr>
          <w:lang w:val="en-US"/>
        </w:rPr>
        <w:t xml:space="preserve"> (Editor in chief - SAJE</w:t>
      </w:r>
    </w:p>
    <w:p w:rsidR="0087624B" w:rsidRPr="0087624B" w:rsidRDefault="0087624B" w:rsidP="00C22091">
      <w:pPr>
        <w:jc w:val="both"/>
        <w:rPr>
          <w:b/>
          <w:lang w:val="en-US"/>
        </w:rPr>
      </w:pPr>
      <w:r w:rsidRPr="0087624B">
        <w:rPr>
          <w:b/>
          <w:lang w:val="en-US"/>
        </w:rPr>
        <w:t>A Critical Analysis of the Contents of the IFRS for SMEs - A South African Perspective</w:t>
      </w:r>
      <w:r w:rsidR="007A7965">
        <w:rPr>
          <w:b/>
          <w:lang w:val="en-US"/>
        </w:rPr>
        <w:t xml:space="preserve"> (Manuscript 13-10)</w:t>
      </w:r>
    </w:p>
    <w:p w:rsidR="005F4313" w:rsidRDefault="00840E62" w:rsidP="00840E62">
      <w:pPr>
        <w:jc w:val="both"/>
        <w:rPr>
          <w:lang w:val="en-US"/>
        </w:rPr>
      </w:pPr>
      <w:r>
        <w:rPr>
          <w:lang w:val="en-US"/>
        </w:rPr>
        <w:t xml:space="preserve">We would like to thank you for the opportunity to address and incorporating the comments and feedback of the reviewers in our article. </w:t>
      </w:r>
      <w:r w:rsidR="0087624B">
        <w:rPr>
          <w:lang w:val="en-US"/>
        </w:rPr>
        <w:t>We value the</w:t>
      </w:r>
      <w:r>
        <w:rPr>
          <w:lang w:val="en-US"/>
        </w:rPr>
        <w:t xml:space="preserve">ir positive and constructive </w:t>
      </w:r>
      <w:r w:rsidR="0087624B">
        <w:rPr>
          <w:lang w:val="en-US"/>
        </w:rPr>
        <w:t xml:space="preserve">comments </w:t>
      </w:r>
      <w:r w:rsidR="00390A03">
        <w:rPr>
          <w:lang w:val="en-US"/>
        </w:rPr>
        <w:t>and recognize the</w:t>
      </w:r>
      <w:r>
        <w:rPr>
          <w:lang w:val="en-US"/>
        </w:rPr>
        <w:t>ir</w:t>
      </w:r>
      <w:r w:rsidR="00390A03">
        <w:rPr>
          <w:lang w:val="en-US"/>
        </w:rPr>
        <w:t xml:space="preserve"> inputs received as part of our academic development process</w:t>
      </w:r>
      <w:r>
        <w:rPr>
          <w:lang w:val="en-US"/>
        </w:rPr>
        <w:t>, as well as the overall improvement of our article</w:t>
      </w:r>
      <w:r w:rsidR="00390A03">
        <w:rPr>
          <w:lang w:val="en-US"/>
        </w:rPr>
        <w:t xml:space="preserve">. </w:t>
      </w:r>
    </w:p>
    <w:p w:rsidR="007A7965" w:rsidRDefault="007A7965" w:rsidP="00840E62">
      <w:pPr>
        <w:jc w:val="both"/>
        <w:rPr>
          <w:lang w:val="en-US"/>
        </w:rPr>
      </w:pPr>
      <w:r>
        <w:rPr>
          <w:lang w:val="en-US"/>
        </w:rPr>
        <w:t xml:space="preserve">Our research focused on the adoption of a global accounting set of accounting standards by South African Small and Medium Entities/Enterprises.   </w:t>
      </w:r>
    </w:p>
    <w:p w:rsidR="005F4313" w:rsidRDefault="00390A03" w:rsidP="00840E62">
      <w:pPr>
        <w:jc w:val="both"/>
        <w:rPr>
          <w:lang w:val="en-US"/>
        </w:rPr>
      </w:pPr>
      <w:r>
        <w:rPr>
          <w:lang w:val="en-US"/>
        </w:rPr>
        <w:t xml:space="preserve">We </w:t>
      </w:r>
      <w:r w:rsidR="00840E62">
        <w:rPr>
          <w:lang w:val="en-US"/>
        </w:rPr>
        <w:t xml:space="preserve">have </w:t>
      </w:r>
      <w:r>
        <w:rPr>
          <w:lang w:val="en-US"/>
        </w:rPr>
        <w:t xml:space="preserve">attempted to </w:t>
      </w:r>
      <w:r w:rsidR="00840E62">
        <w:rPr>
          <w:lang w:val="en-US"/>
        </w:rPr>
        <w:t>incorporate all the reviewers’ comments to the best of our ability. Accordingly we made several amendments to our text, which is summarized as follows</w:t>
      </w:r>
      <w:r>
        <w:rPr>
          <w:lang w:val="en-US"/>
        </w:rPr>
        <w:t>:</w:t>
      </w:r>
    </w:p>
    <w:tbl>
      <w:tblPr>
        <w:tblStyle w:val="TableGrid"/>
        <w:tblW w:w="9606" w:type="dxa"/>
        <w:tblLayout w:type="fixed"/>
        <w:tblLook w:val="04A0"/>
      </w:tblPr>
      <w:tblGrid>
        <w:gridCol w:w="4503"/>
        <w:gridCol w:w="5103"/>
      </w:tblGrid>
      <w:tr w:rsidR="005F4313" w:rsidTr="007F79AA">
        <w:tc>
          <w:tcPr>
            <w:tcW w:w="4503" w:type="dxa"/>
          </w:tcPr>
          <w:p w:rsidR="005F4313" w:rsidRPr="005F4313" w:rsidRDefault="005F4313" w:rsidP="00C22091">
            <w:pPr>
              <w:jc w:val="both"/>
              <w:rPr>
                <w:u w:val="single"/>
                <w:lang w:val="en-US"/>
              </w:rPr>
            </w:pPr>
            <w:r w:rsidRPr="005F4313">
              <w:rPr>
                <w:u w:val="single"/>
                <w:lang w:val="en-US"/>
              </w:rPr>
              <w:t>Comments</w:t>
            </w:r>
            <w:r w:rsidR="00F64A76">
              <w:rPr>
                <w:u w:val="single"/>
                <w:lang w:val="en-US"/>
              </w:rPr>
              <w:t xml:space="preserve"> (61-201-2-RV)</w:t>
            </w:r>
          </w:p>
        </w:tc>
        <w:tc>
          <w:tcPr>
            <w:tcW w:w="5103" w:type="dxa"/>
          </w:tcPr>
          <w:p w:rsidR="005F4313" w:rsidRPr="005F4313" w:rsidRDefault="005F4313" w:rsidP="00C22091">
            <w:pPr>
              <w:jc w:val="both"/>
              <w:rPr>
                <w:u w:val="single"/>
                <w:lang w:val="en-US"/>
              </w:rPr>
            </w:pPr>
            <w:r w:rsidRPr="005F4313">
              <w:rPr>
                <w:u w:val="single"/>
                <w:lang w:val="en-US"/>
              </w:rPr>
              <w:t>Response</w:t>
            </w:r>
            <w:r w:rsidR="00581FFB">
              <w:rPr>
                <w:u w:val="single"/>
                <w:lang w:val="en-US"/>
              </w:rPr>
              <w:t>/Correction</w:t>
            </w:r>
          </w:p>
        </w:tc>
      </w:tr>
      <w:tr w:rsidR="005F4313" w:rsidTr="007F79AA">
        <w:tc>
          <w:tcPr>
            <w:tcW w:w="4503" w:type="dxa"/>
          </w:tcPr>
          <w:p w:rsidR="005F4313" w:rsidRPr="005F4313" w:rsidRDefault="005F4313" w:rsidP="00C22091">
            <w:pPr>
              <w:pStyle w:val="ListParagraph"/>
              <w:numPr>
                <w:ilvl w:val="0"/>
                <w:numId w:val="2"/>
              </w:numPr>
              <w:ind w:left="284" w:hanging="284"/>
              <w:jc w:val="both"/>
              <w:rPr>
                <w:lang w:val="en-US"/>
              </w:rPr>
            </w:pPr>
            <w:r w:rsidRPr="005F4313">
              <w:rPr>
                <w:lang w:val="en-US"/>
              </w:rPr>
              <w:t>This contradicts with 1. Introduction, second paragraph, third sentence “In addition ….. has a global focus”. I suggest inserting the word “necessarily</w:t>
            </w:r>
          </w:p>
        </w:tc>
        <w:tc>
          <w:tcPr>
            <w:tcW w:w="5103" w:type="dxa"/>
          </w:tcPr>
          <w:p w:rsidR="005F4313" w:rsidRDefault="007F79AA" w:rsidP="00C22091">
            <w:pPr>
              <w:jc w:val="both"/>
              <w:rPr>
                <w:lang w:val="en-US"/>
              </w:rPr>
            </w:pPr>
            <w:r>
              <w:rPr>
                <w:lang w:val="en-US"/>
              </w:rPr>
              <w:t xml:space="preserve">We inserted the </w:t>
            </w:r>
            <w:r w:rsidR="005F4313">
              <w:rPr>
                <w:lang w:val="en-US"/>
              </w:rPr>
              <w:t>word “necessarily”</w:t>
            </w:r>
            <w:r>
              <w:rPr>
                <w:lang w:val="en-US"/>
              </w:rPr>
              <w:t xml:space="preserve"> as indicated</w:t>
            </w:r>
            <w:r w:rsidR="005F4313">
              <w:rPr>
                <w:lang w:val="en-US"/>
              </w:rPr>
              <w:t>.</w:t>
            </w:r>
          </w:p>
          <w:p w:rsidR="00581FFB" w:rsidRDefault="005F4313" w:rsidP="00C22091">
            <w:pPr>
              <w:jc w:val="both"/>
              <w:rPr>
                <w:lang w:val="en-US"/>
              </w:rPr>
            </w:pPr>
            <w:r>
              <w:rPr>
                <w:lang w:val="en-US"/>
              </w:rPr>
              <w:t xml:space="preserve">The second paragraph refers to IFRS applicable to public companies required to apply IFRS for stock exchange listing purpose. </w:t>
            </w:r>
            <w:r w:rsidR="00581FFB">
              <w:rPr>
                <w:lang w:val="en-US"/>
              </w:rPr>
              <w:t>The third paragraph provides information about the SME sector.</w:t>
            </w:r>
          </w:p>
          <w:p w:rsidR="007F79AA" w:rsidRDefault="007F79AA" w:rsidP="00C22091">
            <w:pPr>
              <w:jc w:val="both"/>
              <w:rPr>
                <w:lang w:val="en-US"/>
              </w:rPr>
            </w:pPr>
          </w:p>
        </w:tc>
      </w:tr>
      <w:tr w:rsidR="005F4313" w:rsidTr="007F79AA">
        <w:tc>
          <w:tcPr>
            <w:tcW w:w="4503" w:type="dxa"/>
          </w:tcPr>
          <w:p w:rsidR="005F4313" w:rsidRDefault="00581FFB" w:rsidP="00C22091">
            <w:pPr>
              <w:pStyle w:val="ListParagraph"/>
              <w:numPr>
                <w:ilvl w:val="0"/>
                <w:numId w:val="2"/>
              </w:numPr>
              <w:ind w:left="284" w:hanging="284"/>
              <w:jc w:val="both"/>
              <w:rPr>
                <w:lang w:val="en-US"/>
              </w:rPr>
            </w:pPr>
            <w:r w:rsidRPr="00581FFB">
              <w:rPr>
                <w:lang w:val="en-US"/>
              </w:rPr>
              <w:t xml:space="preserve">Please refer to the IASB’s website </w:t>
            </w:r>
            <w:r w:rsidRPr="00581FFB">
              <w:rPr>
                <w:u w:val="single"/>
                <w:lang w:val="en-US"/>
              </w:rPr>
              <w:lastRenderedPageBreak/>
              <w:t>(http://www.iasb.org/IFRS+for+SMEs/IFRS+for+SMEs.htm)</w:t>
            </w:r>
            <w:r w:rsidRPr="00581FFB">
              <w:rPr>
                <w:lang w:val="en-US"/>
              </w:rPr>
              <w:t xml:space="preserve"> or BC stating the purpose of the IFRS for SME’s standard. I suggest rephrasing this paragraph to incorporate the IASB’s purpose with the standard.</w:t>
            </w:r>
          </w:p>
          <w:p w:rsidR="007F79AA" w:rsidRPr="00581FFB" w:rsidRDefault="007F79AA" w:rsidP="00C22091">
            <w:pPr>
              <w:pStyle w:val="ListParagraph"/>
              <w:ind w:left="284" w:hanging="284"/>
              <w:jc w:val="both"/>
              <w:rPr>
                <w:lang w:val="en-US"/>
              </w:rPr>
            </w:pPr>
          </w:p>
        </w:tc>
        <w:tc>
          <w:tcPr>
            <w:tcW w:w="5103" w:type="dxa"/>
          </w:tcPr>
          <w:p w:rsidR="005F4313" w:rsidRDefault="007F79AA" w:rsidP="00C22091">
            <w:pPr>
              <w:jc w:val="both"/>
              <w:rPr>
                <w:lang w:val="en-US"/>
              </w:rPr>
            </w:pPr>
            <w:r>
              <w:rPr>
                <w:lang w:val="en-US"/>
              </w:rPr>
              <w:lastRenderedPageBreak/>
              <w:t>We included the fact that</w:t>
            </w:r>
            <w:r w:rsidR="00581FFB">
              <w:rPr>
                <w:lang w:val="en-US"/>
              </w:rPr>
              <w:t xml:space="preserve"> IFRS for SMEs </w:t>
            </w:r>
            <w:r w:rsidR="00581FFB" w:rsidRPr="00581FFB">
              <w:rPr>
                <w:lang w:val="en-US"/>
              </w:rPr>
              <w:t xml:space="preserve">was not </w:t>
            </w:r>
            <w:r w:rsidR="00581FFB" w:rsidRPr="00581FFB">
              <w:rPr>
                <w:lang w:val="en-US"/>
              </w:rPr>
              <w:lastRenderedPageBreak/>
              <w:t>necessarily developed for a specific user</w:t>
            </w:r>
            <w:r w:rsidR="00581FFB">
              <w:rPr>
                <w:lang w:val="en-US"/>
              </w:rPr>
              <w:t xml:space="preserve"> group </w:t>
            </w:r>
            <w:r w:rsidR="00581FFB" w:rsidRPr="00581FFB">
              <w:rPr>
                <w:lang w:val="en-US"/>
              </w:rPr>
              <w:t>(Lombard, 2008:19)</w:t>
            </w:r>
            <w:r w:rsidR="00581FFB">
              <w:rPr>
                <w:lang w:val="en-US"/>
              </w:rPr>
              <w:t xml:space="preserve"> </w:t>
            </w:r>
            <w:r>
              <w:rPr>
                <w:lang w:val="en-US"/>
              </w:rPr>
              <w:t xml:space="preserve">in </w:t>
            </w:r>
            <w:r w:rsidR="00581FFB">
              <w:rPr>
                <w:lang w:val="en-US"/>
              </w:rPr>
              <w:t>paragraph 2.2.</w:t>
            </w:r>
          </w:p>
          <w:p w:rsidR="00581FFB" w:rsidRDefault="007F79AA" w:rsidP="00C22091">
            <w:pPr>
              <w:jc w:val="both"/>
              <w:rPr>
                <w:lang w:val="en-US"/>
              </w:rPr>
            </w:pPr>
            <w:r>
              <w:rPr>
                <w:lang w:val="en-US"/>
              </w:rPr>
              <w:t>We</w:t>
            </w:r>
            <w:r w:rsidR="007F7A51">
              <w:rPr>
                <w:lang w:val="en-US"/>
              </w:rPr>
              <w:t xml:space="preserve"> also included this purpose in the </w:t>
            </w:r>
            <w:r>
              <w:rPr>
                <w:lang w:val="en-US"/>
              </w:rPr>
              <w:t>applicable paragraph</w:t>
            </w:r>
            <w:r w:rsidR="00840E62">
              <w:rPr>
                <w:lang w:val="en-US"/>
              </w:rPr>
              <w:t xml:space="preserve"> as per the basis of conclusion</w:t>
            </w:r>
            <w:r>
              <w:rPr>
                <w:lang w:val="en-US"/>
              </w:rPr>
              <w:t>.</w:t>
            </w:r>
          </w:p>
          <w:p w:rsidR="007F79AA" w:rsidRDefault="007F79AA" w:rsidP="00C22091">
            <w:pPr>
              <w:jc w:val="both"/>
              <w:rPr>
                <w:lang w:val="en-US"/>
              </w:rPr>
            </w:pPr>
          </w:p>
        </w:tc>
      </w:tr>
      <w:tr w:rsidR="005F4313" w:rsidTr="007F79AA">
        <w:tc>
          <w:tcPr>
            <w:tcW w:w="4503" w:type="dxa"/>
          </w:tcPr>
          <w:p w:rsidR="005F4313" w:rsidRDefault="007F79AA" w:rsidP="00C22091">
            <w:pPr>
              <w:pStyle w:val="ListParagraph"/>
              <w:numPr>
                <w:ilvl w:val="0"/>
                <w:numId w:val="2"/>
              </w:numPr>
              <w:ind w:left="284" w:hanging="284"/>
              <w:jc w:val="both"/>
              <w:rPr>
                <w:lang w:val="en-US"/>
              </w:rPr>
            </w:pPr>
            <w:r w:rsidRPr="007F79AA">
              <w:rPr>
                <w:lang w:val="en-US"/>
              </w:rPr>
              <w:lastRenderedPageBreak/>
              <w:t>I do not agree. Most SME’s with 50 employees (as referred to in 1. Introduction, third paragraph, third sentence) will have a functional accounting department. I suggest inserting the word “necessarily”. I do however agree that they will reply on external accountants (or auditors) to compile financial statements.</w:t>
            </w:r>
          </w:p>
          <w:p w:rsidR="007F79AA" w:rsidRPr="007F79AA" w:rsidRDefault="007F79AA" w:rsidP="00C22091">
            <w:pPr>
              <w:pStyle w:val="ListParagraph"/>
              <w:ind w:left="284"/>
              <w:jc w:val="both"/>
              <w:rPr>
                <w:lang w:val="en-US"/>
              </w:rPr>
            </w:pPr>
          </w:p>
        </w:tc>
        <w:tc>
          <w:tcPr>
            <w:tcW w:w="5103" w:type="dxa"/>
          </w:tcPr>
          <w:p w:rsidR="005C07BC" w:rsidRDefault="007F79AA" w:rsidP="00C22091">
            <w:pPr>
              <w:jc w:val="both"/>
              <w:rPr>
                <w:lang w:val="en-US"/>
              </w:rPr>
            </w:pPr>
            <w:r>
              <w:rPr>
                <w:lang w:val="en-US"/>
              </w:rPr>
              <w:t xml:space="preserve">We </w:t>
            </w:r>
            <w:r w:rsidR="005C07BC">
              <w:rPr>
                <w:lang w:val="en-US"/>
              </w:rPr>
              <w:t>inserted the word “necessarily” as indicated.</w:t>
            </w:r>
          </w:p>
          <w:p w:rsidR="005C07BC" w:rsidRDefault="005C07BC" w:rsidP="00C22091">
            <w:pPr>
              <w:jc w:val="both"/>
              <w:rPr>
                <w:lang w:val="en-US"/>
              </w:rPr>
            </w:pPr>
          </w:p>
          <w:p w:rsidR="005F4313" w:rsidRDefault="005C07BC" w:rsidP="00C22091">
            <w:pPr>
              <w:jc w:val="both"/>
              <w:rPr>
                <w:lang w:val="en-US"/>
              </w:rPr>
            </w:pPr>
            <w:r>
              <w:rPr>
                <w:lang w:val="en-US"/>
              </w:rPr>
              <w:t xml:space="preserve"> </w:t>
            </w:r>
          </w:p>
        </w:tc>
      </w:tr>
      <w:tr w:rsidR="005F4313" w:rsidTr="007F79AA">
        <w:tc>
          <w:tcPr>
            <w:tcW w:w="4503" w:type="dxa"/>
          </w:tcPr>
          <w:p w:rsidR="005F4313" w:rsidRDefault="005C07BC" w:rsidP="00C22091">
            <w:pPr>
              <w:pStyle w:val="ListParagraph"/>
              <w:numPr>
                <w:ilvl w:val="0"/>
                <w:numId w:val="2"/>
              </w:numPr>
              <w:ind w:left="284" w:hanging="284"/>
              <w:jc w:val="both"/>
              <w:rPr>
                <w:lang w:val="en-US"/>
              </w:rPr>
            </w:pPr>
            <w:r w:rsidRPr="005C07BC">
              <w:rPr>
                <w:lang w:val="en-US"/>
              </w:rPr>
              <w:t>See my overall comments regarding the inclusion of trainees in the study.</w:t>
            </w:r>
          </w:p>
          <w:p w:rsidR="005C07BC" w:rsidRPr="007F79AA" w:rsidRDefault="005C07BC" w:rsidP="00C22091">
            <w:pPr>
              <w:pStyle w:val="ListParagraph"/>
              <w:ind w:left="284"/>
              <w:jc w:val="both"/>
              <w:rPr>
                <w:lang w:val="en-US"/>
              </w:rPr>
            </w:pPr>
          </w:p>
        </w:tc>
        <w:tc>
          <w:tcPr>
            <w:tcW w:w="5103" w:type="dxa"/>
          </w:tcPr>
          <w:p w:rsidR="00987D59" w:rsidRDefault="005E72B0" w:rsidP="00C22091">
            <w:pPr>
              <w:jc w:val="both"/>
              <w:rPr>
                <w:lang w:val="en-US"/>
              </w:rPr>
            </w:pPr>
            <w:r>
              <w:rPr>
                <w:lang w:val="en-US"/>
              </w:rPr>
              <w:t>We initially omitted the fact that the survey of the trainee accountants was conducted at a preparation course for the SAIPA qualif</w:t>
            </w:r>
            <w:r w:rsidR="00B7206F">
              <w:rPr>
                <w:lang w:val="en-US"/>
              </w:rPr>
              <w:t>ying</w:t>
            </w:r>
            <w:r>
              <w:rPr>
                <w:lang w:val="en-US"/>
              </w:rPr>
              <w:t xml:space="preserve"> exam. The trainee accountants are only entitled to write this exam after three year</w:t>
            </w:r>
            <w:r w:rsidR="00B7206F">
              <w:rPr>
                <w:lang w:val="en-US"/>
              </w:rPr>
              <w:t>s</w:t>
            </w:r>
            <w:r>
              <w:rPr>
                <w:lang w:val="en-US"/>
              </w:rPr>
              <w:t xml:space="preserve"> practical experience with an accounting practitioner.</w:t>
            </w:r>
            <w:r w:rsidR="00B7206F">
              <w:rPr>
                <w:lang w:val="en-US"/>
              </w:rPr>
              <w:t xml:space="preserve"> We are of the opinion that, in light of the fact that the trainee accountants are entitled to write the qualifying exam </w:t>
            </w:r>
            <w:r w:rsidR="00961BF7">
              <w:rPr>
                <w:lang w:val="en-US"/>
              </w:rPr>
              <w:t xml:space="preserve">after </w:t>
            </w:r>
            <w:r w:rsidR="00B7206F">
              <w:rPr>
                <w:lang w:val="en-US"/>
              </w:rPr>
              <w:t>three year practical experience</w:t>
            </w:r>
            <w:r w:rsidR="00961BF7">
              <w:rPr>
                <w:lang w:val="en-US"/>
              </w:rPr>
              <w:t>, they should also be included in the study</w:t>
            </w:r>
            <w:r w:rsidR="00CC2476">
              <w:rPr>
                <w:lang w:val="en-US"/>
              </w:rPr>
              <w:t xml:space="preserve">. We do however agree that the view of the practitioners should carry more weight. In addition we </w:t>
            </w:r>
            <w:r w:rsidR="00B7206F">
              <w:rPr>
                <w:lang w:val="en-US"/>
              </w:rPr>
              <w:t>include</w:t>
            </w:r>
            <w:r w:rsidR="00CC2476">
              <w:rPr>
                <w:lang w:val="en-US"/>
              </w:rPr>
              <w:t>d</w:t>
            </w:r>
            <w:r w:rsidR="00B7206F">
              <w:rPr>
                <w:lang w:val="en-US"/>
              </w:rPr>
              <w:t xml:space="preserve"> a sentence that the survey of the trainee accountants was conducted as a pre-test</w:t>
            </w:r>
            <w:r w:rsidR="00CC2476">
              <w:rPr>
                <w:lang w:val="en-US"/>
              </w:rPr>
              <w:t xml:space="preserve">. Furthermore, our results in paragraph 5 revealed only two components where the difference in </w:t>
            </w:r>
            <w:r w:rsidR="00CC2476" w:rsidRPr="00CC2476">
              <w:rPr>
                <w:i/>
                <w:lang w:val="en-US"/>
              </w:rPr>
              <w:t>mean</w:t>
            </w:r>
            <w:r w:rsidR="00CC2476">
              <w:rPr>
                <w:lang w:val="en-US"/>
              </w:rPr>
              <w:t xml:space="preserve"> answer was in excess of one ranking, resulting in our conclusion that the feedback obtained from the two groups was very similar.  </w:t>
            </w:r>
            <w:r>
              <w:rPr>
                <w:lang w:val="en-US"/>
              </w:rPr>
              <w:t xml:space="preserve"> </w:t>
            </w:r>
          </w:p>
          <w:p w:rsidR="005F4313" w:rsidRDefault="005E72B0" w:rsidP="00C22091">
            <w:pPr>
              <w:jc w:val="both"/>
              <w:rPr>
                <w:lang w:val="en-US"/>
              </w:rPr>
            </w:pPr>
            <w:r>
              <w:rPr>
                <w:lang w:val="en-US"/>
              </w:rPr>
              <w:t xml:space="preserve">  </w:t>
            </w:r>
          </w:p>
        </w:tc>
      </w:tr>
      <w:tr w:rsidR="005F4313" w:rsidTr="007F79AA">
        <w:tc>
          <w:tcPr>
            <w:tcW w:w="4503" w:type="dxa"/>
          </w:tcPr>
          <w:p w:rsidR="005F4313" w:rsidRDefault="00CC2476" w:rsidP="00C22091">
            <w:pPr>
              <w:pStyle w:val="ListParagraph"/>
              <w:numPr>
                <w:ilvl w:val="0"/>
                <w:numId w:val="2"/>
              </w:numPr>
              <w:ind w:left="284" w:hanging="284"/>
              <w:jc w:val="both"/>
              <w:rPr>
                <w:lang w:val="en-US"/>
              </w:rPr>
            </w:pPr>
            <w:r w:rsidRPr="00CC2476">
              <w:rPr>
                <w:lang w:val="en-US"/>
              </w:rPr>
              <w:t>The conclusion reached is not clear. Please elaborate on the conclusion reached.</w:t>
            </w:r>
          </w:p>
          <w:p w:rsidR="005133AA" w:rsidRPr="007F79AA" w:rsidRDefault="005133AA" w:rsidP="00C22091">
            <w:pPr>
              <w:pStyle w:val="ListParagraph"/>
              <w:ind w:left="284"/>
              <w:jc w:val="both"/>
              <w:rPr>
                <w:lang w:val="en-US"/>
              </w:rPr>
            </w:pPr>
          </w:p>
        </w:tc>
        <w:tc>
          <w:tcPr>
            <w:tcW w:w="5103" w:type="dxa"/>
          </w:tcPr>
          <w:p w:rsidR="005F4313" w:rsidRDefault="005133AA" w:rsidP="00C22091">
            <w:pPr>
              <w:jc w:val="both"/>
              <w:rPr>
                <w:lang w:val="en-US"/>
              </w:rPr>
            </w:pPr>
            <w:r>
              <w:rPr>
                <w:lang w:val="en-US"/>
              </w:rPr>
              <w:t xml:space="preserve">The sentence was amended as follows: </w:t>
            </w:r>
            <w:r w:rsidRPr="005133AA">
              <w:rPr>
                <w:lang w:val="en-US"/>
              </w:rPr>
              <w:t>As a result we classified the contents of the IFRS for SMEs</w:t>
            </w:r>
            <w:r w:rsidR="003268B6">
              <w:rPr>
                <w:lang w:val="en-US"/>
              </w:rPr>
              <w:t>, from a South African perspective, into different levels of importance</w:t>
            </w:r>
            <w:r>
              <w:rPr>
                <w:lang w:val="en-US"/>
              </w:rPr>
              <w:t xml:space="preserve">. Please also refer to Table 4 where the contents were classified </w:t>
            </w:r>
            <w:r w:rsidR="003268B6">
              <w:rPr>
                <w:lang w:val="en-US"/>
              </w:rPr>
              <w:t>as highly, moderate and less important</w:t>
            </w:r>
            <w:r>
              <w:rPr>
                <w:lang w:val="en-US"/>
              </w:rPr>
              <w:t xml:space="preserve">.  </w:t>
            </w:r>
          </w:p>
          <w:p w:rsidR="005133AA" w:rsidRDefault="005133AA" w:rsidP="00C22091">
            <w:pPr>
              <w:jc w:val="both"/>
              <w:rPr>
                <w:lang w:val="en-US"/>
              </w:rPr>
            </w:pPr>
          </w:p>
        </w:tc>
      </w:tr>
      <w:tr w:rsidR="005F4313" w:rsidTr="007F79AA">
        <w:tc>
          <w:tcPr>
            <w:tcW w:w="4503" w:type="dxa"/>
          </w:tcPr>
          <w:p w:rsidR="005F4313" w:rsidRDefault="00CC2476" w:rsidP="00C22091">
            <w:pPr>
              <w:pStyle w:val="ListParagraph"/>
              <w:numPr>
                <w:ilvl w:val="0"/>
                <w:numId w:val="2"/>
              </w:numPr>
              <w:ind w:left="284" w:hanging="284"/>
              <w:jc w:val="both"/>
              <w:rPr>
                <w:lang w:val="en-US"/>
              </w:rPr>
            </w:pPr>
            <w:r w:rsidRPr="00CC2476">
              <w:rPr>
                <w:lang w:val="en-US"/>
              </w:rPr>
              <w:t>BC1 to BC33 of the Basis of Conclusions should also be considered in this section</w:t>
            </w:r>
            <w:r w:rsidR="005133AA">
              <w:rPr>
                <w:lang w:val="en-US"/>
              </w:rPr>
              <w:t>.</w:t>
            </w:r>
          </w:p>
          <w:p w:rsidR="005133AA" w:rsidRPr="007F79AA" w:rsidRDefault="005133AA" w:rsidP="00C22091">
            <w:pPr>
              <w:pStyle w:val="ListParagraph"/>
              <w:ind w:left="284"/>
              <w:jc w:val="both"/>
              <w:rPr>
                <w:lang w:val="en-US"/>
              </w:rPr>
            </w:pPr>
          </w:p>
        </w:tc>
        <w:tc>
          <w:tcPr>
            <w:tcW w:w="5103" w:type="dxa"/>
          </w:tcPr>
          <w:p w:rsidR="005F4313" w:rsidRDefault="005133AA" w:rsidP="00C22091">
            <w:pPr>
              <w:jc w:val="both"/>
              <w:rPr>
                <w:lang w:val="en-US"/>
              </w:rPr>
            </w:pPr>
            <w:r>
              <w:rPr>
                <w:lang w:val="en-US"/>
              </w:rPr>
              <w:t xml:space="preserve">We included, in addition to the information included in the basis of conclusion, background information leading to the </w:t>
            </w:r>
            <w:r w:rsidR="006B4679">
              <w:rPr>
                <w:lang w:val="en-US"/>
              </w:rPr>
              <w:t xml:space="preserve">development of the IFRS for SMEs. The major dates contained in the basis of conclusions (2004 and 2007) were also included in our literature review. Furthermore, BC20-25 refers to the field test carried out by the IASB amongst 116 small entities. In view of our respondents, namely practicing and trainee accountants, we felt that the information in connection with the field test should not form part of our study. </w:t>
            </w:r>
            <w:r w:rsidR="006B4679">
              <w:rPr>
                <w:lang w:val="en-US"/>
              </w:rPr>
              <w:lastRenderedPageBreak/>
              <w:t>BC26 deal</w:t>
            </w:r>
            <w:r w:rsidR="00166001">
              <w:rPr>
                <w:lang w:val="en-US"/>
              </w:rPr>
              <w:t>s</w:t>
            </w:r>
            <w:r w:rsidR="006B4679">
              <w:rPr>
                <w:lang w:val="en-US"/>
              </w:rPr>
              <w:t xml:space="preserve"> with the 162 letters of comment received by the IASB. This was also included in the third paragraph of par. 2.1. </w:t>
            </w:r>
          </w:p>
          <w:p w:rsidR="00166001" w:rsidRDefault="00166001" w:rsidP="00C22091">
            <w:pPr>
              <w:jc w:val="both"/>
              <w:rPr>
                <w:lang w:val="en-US"/>
              </w:rPr>
            </w:pPr>
            <w:r>
              <w:rPr>
                <w:lang w:val="en-US"/>
              </w:rPr>
              <w:t xml:space="preserve">BC27-33 contains information in connection with the final decision to adopt and the processes followed by the IASB to communicate the contents of the IFRS for SMEs with different stakeholders in different countries across the globe, and therefore not particularly relevant to our study pertaining to the relevance of the contents in the South African environment. </w:t>
            </w:r>
            <w:r w:rsidR="003268B6">
              <w:rPr>
                <w:lang w:val="en-US"/>
              </w:rPr>
              <w:t>In contrast we included the subsequent developments in South Africa, including the proposal of “micro-gaap”, please refer to the last paragraph under 2.1.</w:t>
            </w:r>
          </w:p>
          <w:p w:rsidR="00166001" w:rsidRDefault="00166001" w:rsidP="00C22091">
            <w:pPr>
              <w:jc w:val="both"/>
              <w:rPr>
                <w:lang w:val="en-US"/>
              </w:rPr>
            </w:pPr>
          </w:p>
        </w:tc>
      </w:tr>
      <w:tr w:rsidR="005F4313" w:rsidTr="007F79AA">
        <w:tc>
          <w:tcPr>
            <w:tcW w:w="4503" w:type="dxa"/>
          </w:tcPr>
          <w:p w:rsidR="005F4313" w:rsidRPr="007F79AA" w:rsidRDefault="0057138E" w:rsidP="00C22091">
            <w:pPr>
              <w:pStyle w:val="ListParagraph"/>
              <w:numPr>
                <w:ilvl w:val="0"/>
                <w:numId w:val="2"/>
              </w:numPr>
              <w:ind w:left="284" w:hanging="284"/>
              <w:jc w:val="both"/>
              <w:rPr>
                <w:lang w:val="en-US"/>
              </w:rPr>
            </w:pPr>
            <w:r w:rsidRPr="0057138E">
              <w:rPr>
                <w:lang w:val="en-US"/>
              </w:rPr>
              <w:lastRenderedPageBreak/>
              <w:t>NB: Please verify, as the reference did not state this</w:t>
            </w:r>
          </w:p>
        </w:tc>
        <w:tc>
          <w:tcPr>
            <w:tcW w:w="5103" w:type="dxa"/>
          </w:tcPr>
          <w:p w:rsidR="005F4313" w:rsidRDefault="0057138E" w:rsidP="00C22091">
            <w:pPr>
              <w:jc w:val="both"/>
              <w:rPr>
                <w:lang w:val="en-US"/>
              </w:rPr>
            </w:pPr>
            <w:r>
              <w:rPr>
                <w:lang w:val="en-US"/>
              </w:rPr>
              <w:t>From source: “… it has a very strong focus on the needs of capital market and investors. In our opinion IFRS for SMEs is not attempting to address the needs of small unlisted companies…”</w:t>
            </w:r>
          </w:p>
          <w:p w:rsidR="0057138E" w:rsidRDefault="0057138E" w:rsidP="00C22091">
            <w:pPr>
              <w:jc w:val="both"/>
              <w:rPr>
                <w:lang w:val="en-US"/>
              </w:rPr>
            </w:pPr>
            <w:r>
              <w:rPr>
                <w:lang w:val="en-US"/>
              </w:rPr>
              <w:t xml:space="preserve">In our opinion the emphasis from this sentence is on unlisted (IFRS for SMEs) and capital markets (IFRS). For purposes of comparability we used the terms “unlisted” and “listed”, </w:t>
            </w:r>
            <w:r w:rsidR="00CC7605">
              <w:rPr>
                <w:lang w:val="en-US"/>
              </w:rPr>
              <w:t>therefore</w:t>
            </w:r>
            <w:r>
              <w:rPr>
                <w:lang w:val="en-US"/>
              </w:rPr>
              <w:t xml:space="preserve"> listed companies instead of capital market (</w:t>
            </w:r>
            <w:r w:rsidRPr="0057138E">
              <w:rPr>
                <w:lang w:val="en-US"/>
              </w:rPr>
              <w:t>A capital market is a market</w:t>
            </w:r>
            <w:r>
              <w:rPr>
                <w:lang w:val="en-US"/>
              </w:rPr>
              <w:t xml:space="preserve"> for securities</w:t>
            </w:r>
            <w:r w:rsidRPr="0057138E">
              <w:rPr>
                <w:lang w:val="en-US"/>
              </w:rPr>
              <w:t>, where business enterprises (companies) and governments can raise long-term funds</w:t>
            </w:r>
            <w:r>
              <w:rPr>
                <w:lang w:val="en-US"/>
              </w:rPr>
              <w:t xml:space="preserve">) </w:t>
            </w:r>
            <w:r w:rsidR="00CC7605">
              <w:rPr>
                <w:lang w:val="en-US"/>
              </w:rPr>
              <w:t xml:space="preserve">participants. </w:t>
            </w:r>
            <w:r>
              <w:rPr>
                <w:lang w:val="en-US"/>
              </w:rPr>
              <w:t>We d</w:t>
            </w:r>
            <w:r w:rsidR="00CC7605">
              <w:rPr>
                <w:lang w:val="en-US"/>
              </w:rPr>
              <w:t>o however appreciate the recommendation and used capital markets and investors instead of listed companies.</w:t>
            </w:r>
          </w:p>
          <w:p w:rsidR="00CC7605" w:rsidRDefault="00CC7605" w:rsidP="00C22091">
            <w:pPr>
              <w:jc w:val="both"/>
              <w:rPr>
                <w:lang w:val="en-US"/>
              </w:rPr>
            </w:pPr>
          </w:p>
        </w:tc>
      </w:tr>
      <w:tr w:rsidR="00CC2476" w:rsidTr="007F79AA">
        <w:tc>
          <w:tcPr>
            <w:tcW w:w="4503" w:type="dxa"/>
          </w:tcPr>
          <w:p w:rsidR="00CC2476" w:rsidRPr="007F79AA" w:rsidRDefault="006A1A51" w:rsidP="00C22091">
            <w:pPr>
              <w:pStyle w:val="ListParagraph"/>
              <w:numPr>
                <w:ilvl w:val="0"/>
                <w:numId w:val="2"/>
              </w:numPr>
              <w:ind w:left="284" w:hanging="284"/>
              <w:jc w:val="both"/>
              <w:rPr>
                <w:lang w:val="en-US"/>
              </w:rPr>
            </w:pPr>
            <w:r w:rsidRPr="006A1A51">
              <w:rPr>
                <w:lang w:val="en-US"/>
              </w:rPr>
              <w:t>On the contrary, please refer to BC44-47 and BC80.</w:t>
            </w:r>
          </w:p>
        </w:tc>
        <w:tc>
          <w:tcPr>
            <w:tcW w:w="5103" w:type="dxa"/>
          </w:tcPr>
          <w:p w:rsidR="00F153B4" w:rsidRDefault="00282403" w:rsidP="00C22091">
            <w:pPr>
              <w:jc w:val="both"/>
              <w:rPr>
                <w:lang w:val="en-US"/>
              </w:rPr>
            </w:pPr>
            <w:r>
              <w:rPr>
                <w:lang w:val="en-US"/>
              </w:rPr>
              <w:t xml:space="preserve">The sentence was amended. The </w:t>
            </w:r>
            <w:r w:rsidR="00735982">
              <w:rPr>
                <w:lang w:val="en-US"/>
              </w:rPr>
              <w:t xml:space="preserve">sentence now states the </w:t>
            </w:r>
            <w:r>
              <w:rPr>
                <w:lang w:val="en-US"/>
              </w:rPr>
              <w:t xml:space="preserve">fact that the IFRS for SMEs might not address the reporting needs of user groups </w:t>
            </w:r>
            <w:r w:rsidR="00735982">
              <w:rPr>
                <w:lang w:val="en-US"/>
              </w:rPr>
              <w:t xml:space="preserve">and </w:t>
            </w:r>
            <w:r>
              <w:rPr>
                <w:lang w:val="en-US"/>
              </w:rPr>
              <w:t>not whether the IASB considered all user groups. Evidence that all user groups were not considered i</w:t>
            </w:r>
            <w:r w:rsidR="00F9544E">
              <w:rPr>
                <w:lang w:val="en-US"/>
              </w:rPr>
              <w:t>s</w:t>
            </w:r>
            <w:r>
              <w:rPr>
                <w:lang w:val="en-US"/>
              </w:rPr>
              <w:t xml:space="preserve"> provided after this sentence. </w:t>
            </w:r>
            <w:r w:rsidR="00F9544E">
              <w:rPr>
                <w:lang w:val="en-US"/>
              </w:rPr>
              <w:t xml:space="preserve">Relevant sections from </w:t>
            </w:r>
            <w:r>
              <w:rPr>
                <w:lang w:val="en-US"/>
              </w:rPr>
              <w:t xml:space="preserve">the basis </w:t>
            </w:r>
            <w:r w:rsidR="00F9544E">
              <w:rPr>
                <w:lang w:val="en-US"/>
              </w:rPr>
              <w:t xml:space="preserve">of </w:t>
            </w:r>
            <w:r>
              <w:rPr>
                <w:lang w:val="en-US"/>
              </w:rPr>
              <w:t>conclusions, as suggested, w</w:t>
            </w:r>
            <w:r w:rsidR="00F9544E">
              <w:rPr>
                <w:lang w:val="en-US"/>
              </w:rPr>
              <w:t>ere</w:t>
            </w:r>
            <w:r>
              <w:rPr>
                <w:lang w:val="en-US"/>
              </w:rPr>
              <w:t xml:space="preserve"> </w:t>
            </w:r>
            <w:r w:rsidR="00870C78">
              <w:rPr>
                <w:lang w:val="en-US"/>
              </w:rPr>
              <w:t>also included</w:t>
            </w:r>
            <w:r w:rsidR="00F9544E">
              <w:rPr>
                <w:lang w:val="en-US"/>
              </w:rPr>
              <w:t>.</w:t>
            </w:r>
            <w:r w:rsidR="008F67B2">
              <w:rPr>
                <w:lang w:val="en-US"/>
              </w:rPr>
              <w:t xml:space="preserve"> </w:t>
            </w:r>
          </w:p>
          <w:p w:rsidR="00CC2476" w:rsidRDefault="006A1A51" w:rsidP="00C22091">
            <w:pPr>
              <w:jc w:val="both"/>
              <w:rPr>
                <w:lang w:val="en-US"/>
              </w:rPr>
            </w:pPr>
            <w:r>
              <w:rPr>
                <w:lang w:val="en-US"/>
              </w:rPr>
              <w:t xml:space="preserve"> </w:t>
            </w:r>
          </w:p>
        </w:tc>
      </w:tr>
      <w:tr w:rsidR="00431238" w:rsidTr="007F79AA">
        <w:tc>
          <w:tcPr>
            <w:tcW w:w="4503" w:type="dxa"/>
          </w:tcPr>
          <w:p w:rsidR="00431238" w:rsidRDefault="00F153B4" w:rsidP="00C22091">
            <w:pPr>
              <w:pStyle w:val="ListParagraph"/>
              <w:numPr>
                <w:ilvl w:val="0"/>
                <w:numId w:val="2"/>
              </w:numPr>
              <w:ind w:left="284" w:hanging="284"/>
              <w:jc w:val="both"/>
              <w:rPr>
                <w:lang w:val="en-US"/>
              </w:rPr>
            </w:pPr>
            <w:r w:rsidRPr="00F153B4">
              <w:rPr>
                <w:lang w:val="en-US"/>
              </w:rPr>
              <w:t>The IASB gave an important explanation of the exclusion in BC44-47 and BC53-54</w:t>
            </w:r>
          </w:p>
          <w:p w:rsidR="00F153B4" w:rsidRPr="00F153B4" w:rsidRDefault="00F153B4" w:rsidP="00C22091">
            <w:pPr>
              <w:jc w:val="both"/>
              <w:rPr>
                <w:lang w:val="en-US"/>
              </w:rPr>
            </w:pPr>
          </w:p>
        </w:tc>
        <w:tc>
          <w:tcPr>
            <w:tcW w:w="5103" w:type="dxa"/>
          </w:tcPr>
          <w:p w:rsidR="00431238" w:rsidRDefault="00735982" w:rsidP="00C22091">
            <w:pPr>
              <w:jc w:val="both"/>
              <w:rPr>
                <w:lang w:val="en-US"/>
              </w:rPr>
            </w:pPr>
            <w:r>
              <w:rPr>
                <w:lang w:val="en-US"/>
              </w:rPr>
              <w:t>The paragraph was amended, the explanation and reference to the basis of conclusion was included.</w:t>
            </w:r>
          </w:p>
        </w:tc>
      </w:tr>
      <w:tr w:rsidR="00431238" w:rsidTr="007F79AA">
        <w:tc>
          <w:tcPr>
            <w:tcW w:w="4503" w:type="dxa"/>
          </w:tcPr>
          <w:p w:rsidR="00431238" w:rsidRPr="007F79AA" w:rsidRDefault="00783D62" w:rsidP="00C22091">
            <w:pPr>
              <w:pStyle w:val="ListParagraph"/>
              <w:numPr>
                <w:ilvl w:val="0"/>
                <w:numId w:val="2"/>
              </w:numPr>
              <w:ind w:left="284" w:hanging="284"/>
              <w:jc w:val="both"/>
              <w:rPr>
                <w:lang w:val="en-US"/>
              </w:rPr>
            </w:pPr>
            <w:r>
              <w:rPr>
                <w:lang w:val="en-US"/>
              </w:rPr>
              <w:t xml:space="preserve"> </w:t>
            </w:r>
            <w:r w:rsidR="00735982" w:rsidRPr="00735982">
              <w:rPr>
                <w:lang w:val="en-US"/>
              </w:rPr>
              <w:t>This is contradicting to what Saracina, 2005:2 says?</w:t>
            </w:r>
          </w:p>
        </w:tc>
        <w:tc>
          <w:tcPr>
            <w:tcW w:w="5103" w:type="dxa"/>
          </w:tcPr>
          <w:p w:rsidR="00431238" w:rsidRDefault="00735982" w:rsidP="00C22091">
            <w:pPr>
              <w:jc w:val="both"/>
              <w:rPr>
                <w:lang w:val="en-US"/>
              </w:rPr>
            </w:pPr>
            <w:r>
              <w:rPr>
                <w:lang w:val="en-US"/>
              </w:rPr>
              <w:t>The sentence was amended to include the contrast between the fact that</w:t>
            </w:r>
            <w:r w:rsidR="003268B6">
              <w:rPr>
                <w:lang w:val="en-US"/>
              </w:rPr>
              <w:t>,</w:t>
            </w:r>
            <w:r>
              <w:rPr>
                <w:lang w:val="en-US"/>
              </w:rPr>
              <w:t xml:space="preserve"> although owner-managers are listed as important users</w:t>
            </w:r>
            <w:r w:rsidR="003268B6">
              <w:rPr>
                <w:lang w:val="en-US"/>
              </w:rPr>
              <w:t>,</w:t>
            </w:r>
            <w:r>
              <w:rPr>
                <w:lang w:val="en-US"/>
              </w:rPr>
              <w:t xml:space="preserve"> they don’t necessarily understand the </w:t>
            </w:r>
            <w:r w:rsidR="007D29AD">
              <w:rPr>
                <w:lang w:val="en-US"/>
              </w:rPr>
              <w:t>financial information.</w:t>
            </w:r>
          </w:p>
          <w:p w:rsidR="007D29AD" w:rsidRDefault="007D29AD" w:rsidP="00C22091">
            <w:pPr>
              <w:jc w:val="both"/>
              <w:rPr>
                <w:lang w:val="en-US"/>
              </w:rPr>
            </w:pPr>
          </w:p>
        </w:tc>
      </w:tr>
      <w:tr w:rsidR="00431238" w:rsidTr="007F79AA">
        <w:tc>
          <w:tcPr>
            <w:tcW w:w="4503" w:type="dxa"/>
          </w:tcPr>
          <w:p w:rsidR="00431238" w:rsidRDefault="00783D62" w:rsidP="00C22091">
            <w:pPr>
              <w:pStyle w:val="ListParagraph"/>
              <w:numPr>
                <w:ilvl w:val="0"/>
                <w:numId w:val="2"/>
              </w:numPr>
              <w:ind w:left="284" w:hanging="284"/>
              <w:jc w:val="both"/>
              <w:rPr>
                <w:lang w:val="en-US"/>
              </w:rPr>
            </w:pPr>
            <w:r>
              <w:rPr>
                <w:lang w:val="en-US"/>
              </w:rPr>
              <w:t xml:space="preserve"> </w:t>
            </w:r>
            <w:r w:rsidR="007D29AD">
              <w:rPr>
                <w:lang w:val="en-US"/>
              </w:rPr>
              <w:t>See comments 9 above.</w:t>
            </w:r>
          </w:p>
          <w:p w:rsidR="007D29AD" w:rsidRPr="007F79AA" w:rsidRDefault="007D29AD" w:rsidP="00C22091">
            <w:pPr>
              <w:pStyle w:val="ListParagraph"/>
              <w:ind w:left="284"/>
              <w:jc w:val="both"/>
              <w:rPr>
                <w:lang w:val="en-US"/>
              </w:rPr>
            </w:pPr>
          </w:p>
        </w:tc>
        <w:tc>
          <w:tcPr>
            <w:tcW w:w="5103" w:type="dxa"/>
          </w:tcPr>
          <w:p w:rsidR="00431238" w:rsidRDefault="007D29AD" w:rsidP="00C22091">
            <w:pPr>
              <w:jc w:val="both"/>
              <w:rPr>
                <w:lang w:val="en-US"/>
              </w:rPr>
            </w:pPr>
            <w:r>
              <w:rPr>
                <w:lang w:val="en-US"/>
              </w:rPr>
              <w:t>The comments were addressed in 9.</w:t>
            </w:r>
          </w:p>
        </w:tc>
      </w:tr>
      <w:tr w:rsidR="00431238" w:rsidTr="007F79AA">
        <w:tc>
          <w:tcPr>
            <w:tcW w:w="4503" w:type="dxa"/>
          </w:tcPr>
          <w:p w:rsidR="00431238" w:rsidRPr="007F79AA" w:rsidRDefault="00783D62" w:rsidP="00C22091">
            <w:pPr>
              <w:pStyle w:val="ListParagraph"/>
              <w:numPr>
                <w:ilvl w:val="0"/>
                <w:numId w:val="2"/>
              </w:numPr>
              <w:ind w:left="284" w:hanging="284"/>
              <w:jc w:val="both"/>
              <w:rPr>
                <w:lang w:val="en-US"/>
              </w:rPr>
            </w:pPr>
            <w:r>
              <w:rPr>
                <w:lang w:val="en-US"/>
              </w:rPr>
              <w:t xml:space="preserve"> </w:t>
            </w:r>
            <w:r w:rsidR="007D29AD" w:rsidRPr="007D29AD">
              <w:rPr>
                <w:lang w:val="en-US"/>
              </w:rPr>
              <w:t>On the contrary, please see BC44-47</w:t>
            </w:r>
            <w:r w:rsidR="007D29AD">
              <w:rPr>
                <w:lang w:val="en-US"/>
              </w:rPr>
              <w:t>.</w:t>
            </w:r>
          </w:p>
        </w:tc>
        <w:tc>
          <w:tcPr>
            <w:tcW w:w="5103" w:type="dxa"/>
          </w:tcPr>
          <w:p w:rsidR="00431238" w:rsidRDefault="00870C78" w:rsidP="00C22091">
            <w:pPr>
              <w:jc w:val="both"/>
              <w:rPr>
                <w:lang w:val="en-US"/>
              </w:rPr>
            </w:pPr>
            <w:r>
              <w:rPr>
                <w:lang w:val="en-US"/>
              </w:rPr>
              <w:t xml:space="preserve">The sentence was amended, we advocate that the benefits of the IFRS for SMEs </w:t>
            </w:r>
            <w:r w:rsidR="003268B6">
              <w:rPr>
                <w:lang w:val="en-US"/>
              </w:rPr>
              <w:t xml:space="preserve">for certain user groups </w:t>
            </w:r>
            <w:r>
              <w:rPr>
                <w:lang w:val="en-US"/>
              </w:rPr>
              <w:t xml:space="preserve">remain to be tested, and not that the IASB did not take </w:t>
            </w:r>
            <w:r>
              <w:rPr>
                <w:lang w:val="en-US"/>
              </w:rPr>
              <w:lastRenderedPageBreak/>
              <w:t xml:space="preserve">user needs into account when developing the IFRS for SMEs. </w:t>
            </w:r>
            <w:r w:rsidR="00AC37CE">
              <w:rPr>
                <w:lang w:val="en-US"/>
              </w:rPr>
              <w:t>We also included a</w:t>
            </w:r>
            <w:r w:rsidR="00C22091">
              <w:rPr>
                <w:lang w:val="en-US"/>
              </w:rPr>
              <w:t xml:space="preserve">dditional </w:t>
            </w:r>
            <w:r w:rsidR="00AC37CE">
              <w:rPr>
                <w:lang w:val="en-US"/>
              </w:rPr>
              <w:t>reference</w:t>
            </w:r>
            <w:r w:rsidR="00C22091">
              <w:rPr>
                <w:lang w:val="en-US"/>
              </w:rPr>
              <w:t>s/explanations (</w:t>
            </w:r>
            <w:r w:rsidR="00AC37CE" w:rsidRPr="00AC37CE">
              <w:rPr>
                <w:lang w:val="en-US"/>
              </w:rPr>
              <w:t xml:space="preserve">Van Wyk </w:t>
            </w:r>
            <w:r w:rsidR="00C22091">
              <w:rPr>
                <w:lang w:val="en-US"/>
              </w:rPr>
              <w:t>&amp;</w:t>
            </w:r>
            <w:r w:rsidR="00AC37CE" w:rsidRPr="00AC37CE">
              <w:rPr>
                <w:lang w:val="en-US"/>
              </w:rPr>
              <w:t xml:space="preserve"> Rossouw</w:t>
            </w:r>
            <w:r w:rsidR="00C22091">
              <w:rPr>
                <w:lang w:val="en-US"/>
              </w:rPr>
              <w:t xml:space="preserve">, </w:t>
            </w:r>
            <w:r w:rsidR="00AC37CE" w:rsidRPr="00AC37CE">
              <w:rPr>
                <w:lang w:val="en-US"/>
              </w:rPr>
              <w:t>2009:102</w:t>
            </w:r>
            <w:r w:rsidR="00C22091">
              <w:rPr>
                <w:lang w:val="en-US"/>
              </w:rPr>
              <w:t xml:space="preserve">; </w:t>
            </w:r>
            <w:r w:rsidR="00C22091">
              <w:t>Day 1986:295; S</w:t>
            </w:r>
            <w:r w:rsidR="00C22091" w:rsidRPr="00F705DE">
              <w:rPr>
                <w:bCs/>
              </w:rPr>
              <w:t>chuetze</w:t>
            </w:r>
            <w:r w:rsidR="00C22091">
              <w:rPr>
                <w:bCs/>
              </w:rPr>
              <w:t xml:space="preserve"> (</w:t>
            </w:r>
            <w:r w:rsidR="00C22091" w:rsidRPr="00F705DE">
              <w:rPr>
                <w:bCs/>
              </w:rPr>
              <w:t>2001:2</w:t>
            </w:r>
            <w:r w:rsidR="00AC37CE" w:rsidRPr="00AC37CE">
              <w:rPr>
                <w:lang w:val="en-US"/>
              </w:rPr>
              <w:t xml:space="preserve">) </w:t>
            </w:r>
            <w:r w:rsidR="00AC37CE">
              <w:rPr>
                <w:lang w:val="en-US"/>
              </w:rPr>
              <w:t xml:space="preserve">for </w:t>
            </w:r>
            <w:r w:rsidR="00C22091">
              <w:rPr>
                <w:lang w:val="en-US"/>
              </w:rPr>
              <w:t>our decision to include practitioners, and not necessarily other users of SME financial statements.</w:t>
            </w:r>
            <w:r w:rsidR="00AC37CE">
              <w:rPr>
                <w:lang w:val="en-US"/>
              </w:rPr>
              <w:t xml:space="preserve">  </w:t>
            </w:r>
          </w:p>
          <w:p w:rsidR="00870C78" w:rsidRDefault="00870C78" w:rsidP="00C22091">
            <w:pPr>
              <w:jc w:val="both"/>
              <w:rPr>
                <w:lang w:val="en-US"/>
              </w:rPr>
            </w:pPr>
          </w:p>
        </w:tc>
      </w:tr>
      <w:tr w:rsidR="007D29AD" w:rsidTr="007F79AA">
        <w:tc>
          <w:tcPr>
            <w:tcW w:w="4503" w:type="dxa"/>
          </w:tcPr>
          <w:p w:rsidR="007D29AD" w:rsidRDefault="00783D62" w:rsidP="00C22091">
            <w:pPr>
              <w:pStyle w:val="ListParagraph"/>
              <w:numPr>
                <w:ilvl w:val="0"/>
                <w:numId w:val="2"/>
              </w:numPr>
              <w:ind w:left="284" w:hanging="284"/>
              <w:jc w:val="both"/>
              <w:rPr>
                <w:lang w:val="en-US"/>
              </w:rPr>
            </w:pPr>
            <w:r>
              <w:rPr>
                <w:lang w:val="en-US"/>
              </w:rPr>
              <w:lastRenderedPageBreak/>
              <w:t xml:space="preserve"> </w:t>
            </w:r>
            <w:r w:rsidR="00870C78" w:rsidRPr="00870C78">
              <w:rPr>
                <w:lang w:val="en-US"/>
              </w:rPr>
              <w:t>The IASB differs (from Schiebel) as per BC33</w:t>
            </w:r>
            <w:r w:rsidR="00870C78">
              <w:rPr>
                <w:lang w:val="en-US"/>
              </w:rPr>
              <w:t>.</w:t>
            </w:r>
          </w:p>
          <w:p w:rsidR="00870C78" w:rsidRPr="007F79AA" w:rsidRDefault="00870C78" w:rsidP="00C22091">
            <w:pPr>
              <w:pStyle w:val="ListParagraph"/>
              <w:ind w:left="284"/>
              <w:jc w:val="both"/>
              <w:rPr>
                <w:lang w:val="en-US"/>
              </w:rPr>
            </w:pPr>
          </w:p>
        </w:tc>
        <w:tc>
          <w:tcPr>
            <w:tcW w:w="5103" w:type="dxa"/>
          </w:tcPr>
          <w:p w:rsidR="007D29AD" w:rsidRDefault="00870C78" w:rsidP="00C22091">
            <w:pPr>
              <w:jc w:val="both"/>
              <w:rPr>
                <w:lang w:val="en-US"/>
              </w:rPr>
            </w:pPr>
            <w:r>
              <w:rPr>
                <w:lang w:val="en-US"/>
              </w:rPr>
              <w:t xml:space="preserve">We are of the opinion that the statement by Schiebel carries more weight, especially in the light of the evidence provided in the following paragraph and the data in figure 1. Furthermore, BC33 refers to information sessions by the IASB, and not the feedback received by the IASB in connection with the ED on IFRS for SMEs. </w:t>
            </w:r>
          </w:p>
          <w:p w:rsidR="00870C78" w:rsidRDefault="00870C78" w:rsidP="00C22091">
            <w:pPr>
              <w:jc w:val="both"/>
              <w:rPr>
                <w:lang w:val="en-US"/>
              </w:rPr>
            </w:pPr>
          </w:p>
        </w:tc>
      </w:tr>
      <w:tr w:rsidR="007D29AD" w:rsidTr="007F79AA">
        <w:tc>
          <w:tcPr>
            <w:tcW w:w="4503" w:type="dxa"/>
          </w:tcPr>
          <w:p w:rsidR="007D29AD" w:rsidRPr="007F79AA" w:rsidRDefault="00783D62" w:rsidP="00C22091">
            <w:pPr>
              <w:pStyle w:val="ListParagraph"/>
              <w:numPr>
                <w:ilvl w:val="0"/>
                <w:numId w:val="2"/>
              </w:numPr>
              <w:ind w:left="284" w:hanging="284"/>
              <w:jc w:val="both"/>
              <w:rPr>
                <w:lang w:val="en-US"/>
              </w:rPr>
            </w:pPr>
            <w:r>
              <w:rPr>
                <w:lang w:val="en-US"/>
              </w:rPr>
              <w:t xml:space="preserve"> </w:t>
            </w:r>
            <w:r w:rsidR="009D2152" w:rsidRPr="009D2152">
              <w:rPr>
                <w:lang w:val="en-US"/>
              </w:rPr>
              <w:t>I am not sure about this statement. The IASB is based in the UK and develops IFRS for use in any jurisdiction.</w:t>
            </w:r>
          </w:p>
        </w:tc>
        <w:tc>
          <w:tcPr>
            <w:tcW w:w="5103" w:type="dxa"/>
          </w:tcPr>
          <w:p w:rsidR="007D29AD" w:rsidRDefault="009D2152" w:rsidP="00C22091">
            <w:pPr>
              <w:jc w:val="both"/>
              <w:rPr>
                <w:lang w:val="en-US"/>
              </w:rPr>
            </w:pPr>
            <w:r>
              <w:rPr>
                <w:lang w:val="en-US"/>
              </w:rPr>
              <w:t xml:space="preserve">The sentence was amended. We are stating now that the majority of the responses to the ED on IFRS for SMEs was received from Europe, and not that the IFRS for SMEs was developed in Europe. </w:t>
            </w:r>
          </w:p>
          <w:p w:rsidR="009D2152" w:rsidRDefault="009D2152" w:rsidP="00C22091">
            <w:pPr>
              <w:jc w:val="both"/>
              <w:rPr>
                <w:lang w:val="en-US"/>
              </w:rPr>
            </w:pPr>
          </w:p>
        </w:tc>
      </w:tr>
      <w:tr w:rsidR="007D29AD" w:rsidTr="007F79AA">
        <w:tc>
          <w:tcPr>
            <w:tcW w:w="4503" w:type="dxa"/>
          </w:tcPr>
          <w:p w:rsidR="007D29AD" w:rsidRDefault="00783D62" w:rsidP="00C22091">
            <w:pPr>
              <w:pStyle w:val="ListParagraph"/>
              <w:numPr>
                <w:ilvl w:val="0"/>
                <w:numId w:val="2"/>
              </w:numPr>
              <w:ind w:left="284" w:hanging="284"/>
              <w:jc w:val="both"/>
              <w:rPr>
                <w:lang w:val="en-US"/>
              </w:rPr>
            </w:pPr>
            <w:r>
              <w:rPr>
                <w:lang w:val="en-US"/>
              </w:rPr>
              <w:t xml:space="preserve"> </w:t>
            </w:r>
            <w:r w:rsidR="009D2152" w:rsidRPr="009D2152">
              <w:rPr>
                <w:lang w:val="en-US"/>
              </w:rPr>
              <w:t>A short description of these attributes is needed (perhaps in literature review) to validate the statement. See overall comment regarding literature review section.</w:t>
            </w:r>
          </w:p>
          <w:p w:rsidR="009D2152" w:rsidRPr="007F79AA" w:rsidRDefault="009D2152" w:rsidP="00C22091">
            <w:pPr>
              <w:pStyle w:val="ListParagraph"/>
              <w:ind w:left="284"/>
              <w:jc w:val="both"/>
              <w:rPr>
                <w:lang w:val="en-US"/>
              </w:rPr>
            </w:pPr>
          </w:p>
        </w:tc>
        <w:tc>
          <w:tcPr>
            <w:tcW w:w="5103" w:type="dxa"/>
          </w:tcPr>
          <w:p w:rsidR="007D29AD" w:rsidRDefault="00C62C98" w:rsidP="00C22091">
            <w:pPr>
              <w:jc w:val="both"/>
              <w:rPr>
                <w:lang w:val="en-US"/>
              </w:rPr>
            </w:pPr>
            <w:r>
              <w:rPr>
                <w:lang w:val="en-US"/>
              </w:rPr>
              <w:t xml:space="preserve">Additional attributes pertaining to developing countries were included by </w:t>
            </w:r>
            <w:r w:rsidRPr="00C62C98">
              <w:rPr>
                <w:lang w:val="en-US"/>
              </w:rPr>
              <w:t>Zeghal and Mhedhbi (2006:376)</w:t>
            </w:r>
            <w:r>
              <w:rPr>
                <w:lang w:val="en-US"/>
              </w:rPr>
              <w:t xml:space="preserve">, including </w:t>
            </w:r>
            <w:r w:rsidRPr="00C62C98">
              <w:rPr>
                <w:lang w:val="en-US"/>
              </w:rPr>
              <w:t>(i) economic growth; (ii) educational levels; (iii) the degree of external economic openness; (iv) cultural considerations; a</w:t>
            </w:r>
            <w:r>
              <w:rPr>
                <w:lang w:val="en-US"/>
              </w:rPr>
              <w:t>nd</w:t>
            </w:r>
            <w:r w:rsidRPr="00C62C98">
              <w:rPr>
                <w:lang w:val="en-US"/>
              </w:rPr>
              <w:t xml:space="preserve"> (v) the existence of capital markets</w:t>
            </w:r>
            <w:r>
              <w:rPr>
                <w:lang w:val="en-US"/>
              </w:rPr>
              <w:t>.</w:t>
            </w:r>
          </w:p>
          <w:p w:rsidR="00C62C98" w:rsidRDefault="00C62C98" w:rsidP="00C22091">
            <w:pPr>
              <w:jc w:val="both"/>
              <w:rPr>
                <w:lang w:val="en-US"/>
              </w:rPr>
            </w:pPr>
          </w:p>
        </w:tc>
      </w:tr>
      <w:tr w:rsidR="007D29AD" w:rsidTr="007F79AA">
        <w:tc>
          <w:tcPr>
            <w:tcW w:w="4503" w:type="dxa"/>
          </w:tcPr>
          <w:p w:rsidR="007D29AD" w:rsidRDefault="00783D62" w:rsidP="00C22091">
            <w:pPr>
              <w:pStyle w:val="ListParagraph"/>
              <w:numPr>
                <w:ilvl w:val="0"/>
                <w:numId w:val="2"/>
              </w:numPr>
              <w:ind w:left="284" w:hanging="284"/>
              <w:jc w:val="both"/>
              <w:rPr>
                <w:lang w:val="en-US"/>
              </w:rPr>
            </w:pPr>
            <w:r>
              <w:rPr>
                <w:lang w:val="en-US"/>
              </w:rPr>
              <w:t xml:space="preserve"> </w:t>
            </w:r>
            <w:r w:rsidR="00C62C98" w:rsidRPr="00C62C98">
              <w:rPr>
                <w:lang w:val="en-US"/>
              </w:rPr>
              <w:t>See overall comment regarding the literature review.</w:t>
            </w:r>
          </w:p>
          <w:p w:rsidR="00C62C98" w:rsidRPr="007F79AA" w:rsidRDefault="00C62C98" w:rsidP="00C22091">
            <w:pPr>
              <w:pStyle w:val="ListParagraph"/>
              <w:ind w:left="284"/>
              <w:jc w:val="both"/>
              <w:rPr>
                <w:lang w:val="en-US"/>
              </w:rPr>
            </w:pPr>
          </w:p>
        </w:tc>
        <w:tc>
          <w:tcPr>
            <w:tcW w:w="5103" w:type="dxa"/>
          </w:tcPr>
          <w:p w:rsidR="007D29AD" w:rsidRDefault="00C62C98" w:rsidP="00C22091">
            <w:pPr>
              <w:jc w:val="both"/>
              <w:rPr>
                <w:lang w:val="en-US"/>
              </w:rPr>
            </w:pPr>
            <w:r>
              <w:rPr>
                <w:lang w:val="en-US"/>
              </w:rPr>
              <w:t xml:space="preserve">Additional information was provided in connection with the users of SME financial statements (refer to par. 2.2). Additional SME attributes were also included in par. 2.4 of </w:t>
            </w:r>
            <w:r w:rsidR="003268B6">
              <w:rPr>
                <w:lang w:val="en-US"/>
              </w:rPr>
              <w:t xml:space="preserve">our </w:t>
            </w:r>
            <w:r>
              <w:rPr>
                <w:lang w:val="en-US"/>
              </w:rPr>
              <w:t>literature review.</w:t>
            </w:r>
          </w:p>
          <w:p w:rsidR="00C62C98" w:rsidRDefault="00C62C98" w:rsidP="00C22091">
            <w:pPr>
              <w:jc w:val="both"/>
              <w:rPr>
                <w:lang w:val="en-US"/>
              </w:rPr>
            </w:pPr>
          </w:p>
        </w:tc>
      </w:tr>
      <w:tr w:rsidR="007D29AD" w:rsidTr="007F79AA">
        <w:tc>
          <w:tcPr>
            <w:tcW w:w="4503" w:type="dxa"/>
          </w:tcPr>
          <w:p w:rsidR="007D29AD" w:rsidRDefault="00783D62" w:rsidP="00C22091">
            <w:pPr>
              <w:pStyle w:val="ListParagraph"/>
              <w:numPr>
                <w:ilvl w:val="0"/>
                <w:numId w:val="2"/>
              </w:numPr>
              <w:ind w:left="284" w:hanging="284"/>
              <w:jc w:val="both"/>
              <w:rPr>
                <w:lang w:val="en-US"/>
              </w:rPr>
            </w:pPr>
            <w:r>
              <w:rPr>
                <w:lang w:val="en-US"/>
              </w:rPr>
              <w:t xml:space="preserve"> </w:t>
            </w:r>
            <w:r w:rsidR="00C62C98" w:rsidRPr="00C62C98">
              <w:rPr>
                <w:lang w:val="en-US"/>
              </w:rPr>
              <w:t>See overall comment on the inclusion of trainees.</w:t>
            </w:r>
          </w:p>
          <w:p w:rsidR="00C62C98" w:rsidRPr="007F79AA" w:rsidRDefault="00C62C98" w:rsidP="00C22091">
            <w:pPr>
              <w:pStyle w:val="ListParagraph"/>
              <w:ind w:left="284"/>
              <w:jc w:val="both"/>
              <w:rPr>
                <w:lang w:val="en-US"/>
              </w:rPr>
            </w:pPr>
          </w:p>
        </w:tc>
        <w:tc>
          <w:tcPr>
            <w:tcW w:w="5103" w:type="dxa"/>
          </w:tcPr>
          <w:p w:rsidR="007D29AD" w:rsidRDefault="00C62C98" w:rsidP="00C22091">
            <w:pPr>
              <w:jc w:val="both"/>
              <w:rPr>
                <w:lang w:val="en-US"/>
              </w:rPr>
            </w:pPr>
            <w:r>
              <w:rPr>
                <w:lang w:val="en-US"/>
              </w:rPr>
              <w:t xml:space="preserve">With reference to our response to comment no. 4 we are of the opinion that the trainee accountants gained sufficient experience during a period of three years to be included in our survey. Moreover, we stated that the views of the </w:t>
            </w:r>
            <w:r w:rsidR="005320E7">
              <w:rPr>
                <w:lang w:val="en-US"/>
              </w:rPr>
              <w:t>practitioners carried more weight and that the trainees were only included as ‘n pre-test and control group.</w:t>
            </w:r>
          </w:p>
          <w:p w:rsidR="005320E7" w:rsidRDefault="005320E7" w:rsidP="00C22091">
            <w:pPr>
              <w:jc w:val="both"/>
              <w:rPr>
                <w:lang w:val="en-US"/>
              </w:rPr>
            </w:pPr>
          </w:p>
        </w:tc>
      </w:tr>
      <w:tr w:rsidR="007D29AD" w:rsidTr="007F79AA">
        <w:tc>
          <w:tcPr>
            <w:tcW w:w="4503" w:type="dxa"/>
          </w:tcPr>
          <w:p w:rsidR="007D29AD" w:rsidRDefault="00783D62" w:rsidP="00C22091">
            <w:pPr>
              <w:pStyle w:val="ListParagraph"/>
              <w:numPr>
                <w:ilvl w:val="0"/>
                <w:numId w:val="2"/>
              </w:numPr>
              <w:ind w:left="284" w:hanging="284"/>
              <w:jc w:val="both"/>
              <w:rPr>
                <w:lang w:val="en-US"/>
              </w:rPr>
            </w:pPr>
            <w:r>
              <w:rPr>
                <w:lang w:val="en-US"/>
              </w:rPr>
              <w:t xml:space="preserve"> </w:t>
            </w:r>
            <w:r w:rsidR="005320E7" w:rsidRPr="005320E7">
              <w:rPr>
                <w:lang w:val="en-US"/>
              </w:rPr>
              <w:t>Insert full reference</w:t>
            </w:r>
          </w:p>
          <w:p w:rsidR="007E1521" w:rsidRPr="007F79AA" w:rsidRDefault="007E1521" w:rsidP="00C22091">
            <w:pPr>
              <w:pStyle w:val="ListParagraph"/>
              <w:ind w:left="284"/>
              <w:jc w:val="both"/>
              <w:rPr>
                <w:lang w:val="en-US"/>
              </w:rPr>
            </w:pPr>
          </w:p>
        </w:tc>
        <w:tc>
          <w:tcPr>
            <w:tcW w:w="5103" w:type="dxa"/>
          </w:tcPr>
          <w:p w:rsidR="007D29AD" w:rsidRDefault="00783D62" w:rsidP="00C22091">
            <w:pPr>
              <w:jc w:val="both"/>
              <w:rPr>
                <w:lang w:val="en-US"/>
              </w:rPr>
            </w:pPr>
            <w:r>
              <w:rPr>
                <w:lang w:val="en-US"/>
              </w:rPr>
              <w:t>Although the full reference was listed earlier in the text, the full reference “</w:t>
            </w:r>
            <w:r w:rsidRPr="00783D62">
              <w:rPr>
                <w:lang w:val="en-US"/>
              </w:rPr>
              <w:t>Van Mourik (2007:193)</w:t>
            </w:r>
            <w:r>
              <w:rPr>
                <w:lang w:val="en-US"/>
              </w:rPr>
              <w:t>” was inserted.</w:t>
            </w:r>
          </w:p>
          <w:p w:rsidR="00783D62" w:rsidRDefault="00783D62" w:rsidP="00C22091">
            <w:pPr>
              <w:jc w:val="both"/>
              <w:rPr>
                <w:lang w:val="en-US"/>
              </w:rPr>
            </w:pPr>
          </w:p>
        </w:tc>
      </w:tr>
      <w:tr w:rsidR="007D29AD" w:rsidTr="007F79AA">
        <w:tc>
          <w:tcPr>
            <w:tcW w:w="4503" w:type="dxa"/>
          </w:tcPr>
          <w:p w:rsidR="007D29AD" w:rsidRDefault="00783D62" w:rsidP="00C22091">
            <w:pPr>
              <w:pStyle w:val="ListParagraph"/>
              <w:numPr>
                <w:ilvl w:val="0"/>
                <w:numId w:val="2"/>
              </w:numPr>
              <w:ind w:left="284" w:hanging="284"/>
              <w:jc w:val="both"/>
              <w:rPr>
                <w:lang w:val="en-US"/>
              </w:rPr>
            </w:pPr>
            <w:r>
              <w:rPr>
                <w:lang w:val="en-US"/>
              </w:rPr>
              <w:t xml:space="preserve"> </w:t>
            </w:r>
            <w:r w:rsidRPr="00783D62">
              <w:rPr>
                <w:lang w:val="en-US"/>
              </w:rPr>
              <w:t>Hyperinflationary Economics was subsequently left out in the final version. A discussion of the at least the impact of the differences between the initial questionnaire (ED) and the final IFRS standard is necessary.</w:t>
            </w:r>
          </w:p>
          <w:p w:rsidR="00783D62" w:rsidRPr="007F79AA" w:rsidRDefault="00783D62" w:rsidP="00C22091">
            <w:pPr>
              <w:pStyle w:val="ListParagraph"/>
              <w:ind w:left="284"/>
              <w:jc w:val="both"/>
              <w:rPr>
                <w:lang w:val="en-US"/>
              </w:rPr>
            </w:pPr>
          </w:p>
        </w:tc>
        <w:tc>
          <w:tcPr>
            <w:tcW w:w="5103" w:type="dxa"/>
          </w:tcPr>
          <w:p w:rsidR="00783D62" w:rsidRDefault="00783D62" w:rsidP="00C22091">
            <w:pPr>
              <w:jc w:val="both"/>
              <w:rPr>
                <w:lang w:val="en-US"/>
              </w:rPr>
            </w:pPr>
            <w:r>
              <w:rPr>
                <w:lang w:val="en-US"/>
              </w:rPr>
              <w:lastRenderedPageBreak/>
              <w:t>The link to the IFRS for SMEs as per the IASB’s website (</w:t>
            </w:r>
            <w:hyperlink r:id="rId8" w:history="1">
              <w:r w:rsidRPr="007B39CC">
                <w:rPr>
                  <w:rStyle w:val="Hyperlink"/>
                  <w:lang w:val="en-US"/>
                </w:rPr>
                <w:t>http://eifrs.iasb.org/eifrs/sme/en/IFRSforSMEs 2009.pdf</w:t>
              </w:r>
            </w:hyperlink>
            <w:r>
              <w:rPr>
                <w:lang w:val="en-US"/>
              </w:rPr>
              <w:t xml:space="preserve">) contained hyperinflationary economies under section 31. </w:t>
            </w:r>
            <w:r w:rsidR="00AC37CE">
              <w:rPr>
                <w:lang w:val="en-US"/>
              </w:rPr>
              <w:t>Please also refer to the link in comment 2 where hyperinflation</w:t>
            </w:r>
            <w:r w:rsidR="007A7965">
              <w:rPr>
                <w:lang w:val="en-US"/>
              </w:rPr>
              <w:t xml:space="preserve"> is included under </w:t>
            </w:r>
            <w:r w:rsidR="007A7965">
              <w:rPr>
                <w:lang w:val="en-US"/>
              </w:rPr>
              <w:lastRenderedPageBreak/>
              <w:t>BC87(d)</w:t>
            </w:r>
            <w:r w:rsidR="00AC37CE">
              <w:rPr>
                <w:lang w:val="en-US"/>
              </w:rPr>
              <w:t>.</w:t>
            </w:r>
            <w:r w:rsidR="007A7965">
              <w:rPr>
                <w:lang w:val="en-US"/>
              </w:rPr>
              <w:t xml:space="preserve"> </w:t>
            </w:r>
          </w:p>
          <w:p w:rsidR="007D29AD" w:rsidRDefault="00783D62" w:rsidP="00C22091">
            <w:pPr>
              <w:jc w:val="both"/>
              <w:rPr>
                <w:lang w:val="en-US"/>
              </w:rPr>
            </w:pPr>
            <w:r>
              <w:rPr>
                <w:lang w:val="en-US"/>
              </w:rPr>
              <w:t xml:space="preserve"> </w:t>
            </w:r>
          </w:p>
        </w:tc>
      </w:tr>
      <w:tr w:rsidR="007D29AD" w:rsidTr="007F79AA">
        <w:tc>
          <w:tcPr>
            <w:tcW w:w="4503" w:type="dxa"/>
          </w:tcPr>
          <w:p w:rsidR="007D29AD" w:rsidRDefault="00783D62" w:rsidP="00C22091">
            <w:pPr>
              <w:pStyle w:val="ListParagraph"/>
              <w:numPr>
                <w:ilvl w:val="0"/>
                <w:numId w:val="2"/>
              </w:numPr>
              <w:ind w:left="284" w:hanging="284"/>
              <w:jc w:val="both"/>
              <w:rPr>
                <w:lang w:val="en-US"/>
              </w:rPr>
            </w:pPr>
            <w:r>
              <w:rPr>
                <w:lang w:val="en-US"/>
              </w:rPr>
              <w:lastRenderedPageBreak/>
              <w:t xml:space="preserve"> </w:t>
            </w:r>
            <w:r w:rsidRPr="00783D62">
              <w:rPr>
                <w:lang w:val="en-US"/>
              </w:rPr>
              <w:t>One would have thought that the literature review would have indicated this, and that it should have been included (tested) in the questionnaire</w:t>
            </w:r>
          </w:p>
          <w:p w:rsidR="00783D62" w:rsidRPr="007F79AA" w:rsidRDefault="00783D62" w:rsidP="00C22091">
            <w:pPr>
              <w:pStyle w:val="ListParagraph"/>
              <w:ind w:left="284"/>
              <w:jc w:val="both"/>
              <w:rPr>
                <w:lang w:val="en-US"/>
              </w:rPr>
            </w:pPr>
          </w:p>
        </w:tc>
        <w:tc>
          <w:tcPr>
            <w:tcW w:w="5103" w:type="dxa"/>
          </w:tcPr>
          <w:p w:rsidR="002F0944" w:rsidRDefault="002F0944" w:rsidP="00C22091">
            <w:pPr>
              <w:jc w:val="both"/>
              <w:rPr>
                <w:lang w:val="en-US"/>
              </w:rPr>
            </w:pPr>
            <w:r>
              <w:rPr>
                <w:lang w:val="en-US"/>
              </w:rPr>
              <w:t xml:space="preserve">The questionnaire included only those sections contained in the IFRS for SMEs. </w:t>
            </w:r>
            <w:r w:rsidR="004C1A21">
              <w:rPr>
                <w:lang w:val="en-US"/>
              </w:rPr>
              <w:t>We only noted that a section for construction contracts was not included, despite the fact that the construction sector is prominent in the UK. Although the majority of the responses in connection with the IFRS for SMEs was from the UK, and even though the IASB is based in London, the recommendation is accepted, and as a result, all references to the fact that the IASB is biased towards the UK was taken out, including this paragraph.</w:t>
            </w:r>
          </w:p>
          <w:p w:rsidR="007D29AD" w:rsidRDefault="002F0944" w:rsidP="00C22091">
            <w:pPr>
              <w:jc w:val="both"/>
              <w:rPr>
                <w:lang w:val="en-US"/>
              </w:rPr>
            </w:pPr>
            <w:r>
              <w:rPr>
                <w:lang w:val="en-US"/>
              </w:rPr>
              <w:t xml:space="preserve"> </w:t>
            </w:r>
          </w:p>
        </w:tc>
      </w:tr>
      <w:tr w:rsidR="00783D62" w:rsidTr="007F79AA">
        <w:tc>
          <w:tcPr>
            <w:tcW w:w="4503" w:type="dxa"/>
          </w:tcPr>
          <w:p w:rsidR="00783D62" w:rsidRPr="004C1A21" w:rsidRDefault="004C1A21" w:rsidP="00C22091">
            <w:pPr>
              <w:pStyle w:val="ListParagraph"/>
              <w:numPr>
                <w:ilvl w:val="0"/>
                <w:numId w:val="2"/>
              </w:numPr>
              <w:ind w:left="284" w:hanging="284"/>
              <w:jc w:val="both"/>
              <w:rPr>
                <w:lang w:val="en-US"/>
              </w:rPr>
            </w:pPr>
            <w:r>
              <w:rPr>
                <w:lang w:val="en-US"/>
              </w:rPr>
              <w:t xml:space="preserve"> </w:t>
            </w:r>
            <w:r w:rsidRPr="004C1A21">
              <w:rPr>
                <w:lang w:val="en-US"/>
              </w:rPr>
              <w:t>Surely it is only a possibility that the UK was biased!! (refer page 2)</w:t>
            </w:r>
          </w:p>
        </w:tc>
        <w:tc>
          <w:tcPr>
            <w:tcW w:w="5103" w:type="dxa"/>
          </w:tcPr>
          <w:p w:rsidR="00783D62" w:rsidRDefault="004C1A21" w:rsidP="00C22091">
            <w:pPr>
              <w:jc w:val="both"/>
              <w:rPr>
                <w:lang w:val="en-US"/>
              </w:rPr>
            </w:pPr>
            <w:r>
              <w:rPr>
                <w:lang w:val="en-US"/>
              </w:rPr>
              <w:t>Refer to the previous response. The recommendation is accepted and the paragraph will be omitted from the final version.</w:t>
            </w:r>
          </w:p>
          <w:p w:rsidR="004C1A21" w:rsidRDefault="004C1A21" w:rsidP="00C22091">
            <w:pPr>
              <w:jc w:val="both"/>
              <w:rPr>
                <w:lang w:val="en-US"/>
              </w:rPr>
            </w:pPr>
          </w:p>
        </w:tc>
      </w:tr>
      <w:tr w:rsidR="00783D62" w:rsidTr="007F79AA">
        <w:tc>
          <w:tcPr>
            <w:tcW w:w="4503" w:type="dxa"/>
          </w:tcPr>
          <w:p w:rsidR="00783D62" w:rsidRDefault="004C1A21" w:rsidP="00C22091">
            <w:pPr>
              <w:pStyle w:val="ListParagraph"/>
              <w:numPr>
                <w:ilvl w:val="0"/>
                <w:numId w:val="2"/>
              </w:numPr>
              <w:ind w:left="284" w:hanging="284"/>
              <w:jc w:val="both"/>
              <w:rPr>
                <w:lang w:val="en-US"/>
              </w:rPr>
            </w:pPr>
            <w:r>
              <w:rPr>
                <w:lang w:val="en-US"/>
              </w:rPr>
              <w:t xml:space="preserve"> </w:t>
            </w:r>
            <w:r w:rsidRPr="004C1A21">
              <w:rPr>
                <w:lang w:val="en-US"/>
              </w:rPr>
              <w:t>Refer comments above regarding BC44-47</w:t>
            </w:r>
            <w:r>
              <w:rPr>
                <w:lang w:val="en-US"/>
              </w:rPr>
              <w:t>.</w:t>
            </w:r>
          </w:p>
          <w:p w:rsidR="004C1A21" w:rsidRPr="00783D62" w:rsidRDefault="004C1A21" w:rsidP="00C22091">
            <w:pPr>
              <w:pStyle w:val="ListParagraph"/>
              <w:ind w:left="284"/>
              <w:jc w:val="both"/>
              <w:rPr>
                <w:lang w:val="en-US"/>
              </w:rPr>
            </w:pPr>
          </w:p>
        </w:tc>
        <w:tc>
          <w:tcPr>
            <w:tcW w:w="5103" w:type="dxa"/>
          </w:tcPr>
          <w:p w:rsidR="00783D62" w:rsidRDefault="007F7A51" w:rsidP="00C22091">
            <w:pPr>
              <w:jc w:val="both"/>
              <w:rPr>
                <w:lang w:val="en-US"/>
              </w:rPr>
            </w:pPr>
            <w:r>
              <w:rPr>
                <w:lang w:val="en-US"/>
              </w:rPr>
              <w:t>Please refer to our response to comment no. 8. The sentence was also amended to exclude any reference to users of SME financial statements.</w:t>
            </w:r>
          </w:p>
          <w:p w:rsidR="007F7A51" w:rsidRDefault="007F7A51" w:rsidP="00C22091">
            <w:pPr>
              <w:jc w:val="both"/>
              <w:rPr>
                <w:lang w:val="en-US"/>
              </w:rPr>
            </w:pPr>
          </w:p>
        </w:tc>
      </w:tr>
      <w:tr w:rsidR="00783D62" w:rsidTr="007F79AA">
        <w:tc>
          <w:tcPr>
            <w:tcW w:w="4503" w:type="dxa"/>
          </w:tcPr>
          <w:p w:rsidR="00783D62" w:rsidRDefault="007C3CBB" w:rsidP="00C22091">
            <w:pPr>
              <w:pStyle w:val="ListParagraph"/>
              <w:numPr>
                <w:ilvl w:val="0"/>
                <w:numId w:val="2"/>
              </w:numPr>
              <w:ind w:left="284" w:hanging="284"/>
              <w:jc w:val="both"/>
              <w:rPr>
                <w:lang w:val="en-US"/>
              </w:rPr>
            </w:pPr>
            <w:r>
              <w:rPr>
                <w:lang w:val="en-US"/>
              </w:rPr>
              <w:t xml:space="preserve"> </w:t>
            </w:r>
            <w:r w:rsidR="007F7A51" w:rsidRPr="007F7A51">
              <w:rPr>
                <w:lang w:val="en-US"/>
              </w:rPr>
              <w:t>This is not true! Please re-think your interpretation. Accounting standards do not allow the provision of losses, except if onerous, which is rarely found.</w:t>
            </w:r>
          </w:p>
          <w:p w:rsidR="007F7A51" w:rsidRPr="007C3CBB" w:rsidRDefault="007F7A51" w:rsidP="00C22091">
            <w:pPr>
              <w:jc w:val="both"/>
              <w:rPr>
                <w:lang w:val="en-US"/>
              </w:rPr>
            </w:pPr>
          </w:p>
        </w:tc>
        <w:tc>
          <w:tcPr>
            <w:tcW w:w="5103" w:type="dxa"/>
          </w:tcPr>
          <w:p w:rsidR="00783D62" w:rsidRDefault="007F7A51" w:rsidP="00C22091">
            <w:pPr>
              <w:jc w:val="both"/>
              <w:rPr>
                <w:lang w:val="en-US"/>
              </w:rPr>
            </w:pPr>
            <w:r>
              <w:rPr>
                <w:lang w:val="en-US"/>
              </w:rPr>
              <w:t xml:space="preserve">The inclusion of the word losses was incorrect. </w:t>
            </w:r>
            <w:r w:rsidR="007C3CBB">
              <w:rPr>
                <w:lang w:val="en-US"/>
              </w:rPr>
              <w:t xml:space="preserve">We intended the inclusion of provisions only. The sentence was therefore amended to account for provisions, instead of provision for possible losses.  </w:t>
            </w:r>
          </w:p>
        </w:tc>
      </w:tr>
      <w:tr w:rsidR="00783D62" w:rsidTr="007F79AA">
        <w:tc>
          <w:tcPr>
            <w:tcW w:w="4503" w:type="dxa"/>
          </w:tcPr>
          <w:p w:rsidR="00783D62" w:rsidRDefault="007C3CBB" w:rsidP="00C22091">
            <w:pPr>
              <w:pStyle w:val="ListParagraph"/>
              <w:numPr>
                <w:ilvl w:val="0"/>
                <w:numId w:val="2"/>
              </w:numPr>
              <w:ind w:left="284" w:hanging="284"/>
              <w:jc w:val="both"/>
              <w:rPr>
                <w:lang w:val="en-US"/>
              </w:rPr>
            </w:pPr>
            <w:r>
              <w:rPr>
                <w:lang w:val="en-US"/>
              </w:rPr>
              <w:t xml:space="preserve">  </w:t>
            </w:r>
            <w:r w:rsidRPr="007C3CBB">
              <w:rPr>
                <w:lang w:val="en-US"/>
              </w:rPr>
              <w:t>The ACCA study was 10 years ago, and then perhaps based on data older than 10 years?</w:t>
            </w:r>
          </w:p>
          <w:p w:rsidR="002A3C3D" w:rsidRPr="00783D62" w:rsidRDefault="002A3C3D" w:rsidP="00C22091">
            <w:pPr>
              <w:pStyle w:val="ListParagraph"/>
              <w:ind w:left="284"/>
              <w:jc w:val="both"/>
              <w:rPr>
                <w:lang w:val="en-US"/>
              </w:rPr>
            </w:pPr>
          </w:p>
        </w:tc>
        <w:tc>
          <w:tcPr>
            <w:tcW w:w="5103" w:type="dxa"/>
          </w:tcPr>
          <w:p w:rsidR="000C2F75" w:rsidRDefault="000C2F75" w:rsidP="00C22091">
            <w:pPr>
              <w:jc w:val="both"/>
              <w:rPr>
                <w:lang w:val="en-US"/>
              </w:rPr>
            </w:pPr>
            <w:r>
              <w:rPr>
                <w:lang w:val="en-US"/>
              </w:rPr>
              <w:t>The recommendation is accepted and t</w:t>
            </w:r>
            <w:r w:rsidR="002A3C3D">
              <w:rPr>
                <w:lang w:val="en-US"/>
              </w:rPr>
              <w:t xml:space="preserve">he reference to </w:t>
            </w:r>
            <w:r>
              <w:rPr>
                <w:lang w:val="en-US"/>
              </w:rPr>
              <w:t xml:space="preserve">the </w:t>
            </w:r>
            <w:r w:rsidR="002A3C3D">
              <w:rPr>
                <w:lang w:val="en-US"/>
              </w:rPr>
              <w:t xml:space="preserve">involvement of SA SMEs in </w:t>
            </w:r>
            <w:r>
              <w:rPr>
                <w:lang w:val="en-US"/>
              </w:rPr>
              <w:t xml:space="preserve">mainly </w:t>
            </w:r>
            <w:r w:rsidR="002A3C3D">
              <w:rPr>
                <w:lang w:val="en-US"/>
              </w:rPr>
              <w:t>the agricultural</w:t>
            </w:r>
            <w:r>
              <w:rPr>
                <w:lang w:val="en-US"/>
              </w:rPr>
              <w:t xml:space="preserve"> sector was taken out. Limited information is available for SMEs and their involvement in various business sectors in South Africa.</w:t>
            </w:r>
            <w:r w:rsidR="00AC37CE">
              <w:rPr>
                <w:lang w:val="en-US"/>
              </w:rPr>
              <w:t xml:space="preserve"> The emphasis is on the fact that SMEs are involved in different types of businesses worldwide.</w:t>
            </w:r>
          </w:p>
          <w:p w:rsidR="00783D62" w:rsidRDefault="000C2F75" w:rsidP="00C22091">
            <w:pPr>
              <w:jc w:val="both"/>
              <w:rPr>
                <w:lang w:val="en-US"/>
              </w:rPr>
            </w:pPr>
            <w:r>
              <w:rPr>
                <w:lang w:val="en-US"/>
              </w:rPr>
              <w:t xml:space="preserve"> </w:t>
            </w:r>
          </w:p>
        </w:tc>
      </w:tr>
      <w:tr w:rsidR="00783D62" w:rsidTr="007F79AA">
        <w:tc>
          <w:tcPr>
            <w:tcW w:w="4503" w:type="dxa"/>
          </w:tcPr>
          <w:p w:rsidR="00F64A76" w:rsidRPr="00F64A76" w:rsidRDefault="00F64A76" w:rsidP="00C22091">
            <w:pPr>
              <w:jc w:val="both"/>
              <w:rPr>
                <w:lang w:val="en-US"/>
              </w:rPr>
            </w:pPr>
            <w:r>
              <w:rPr>
                <w:lang w:val="en-US"/>
              </w:rPr>
              <w:t>25</w:t>
            </w:r>
            <w:r w:rsidRPr="00F64A76">
              <w:rPr>
                <w:lang w:val="en-US"/>
              </w:rPr>
              <w:t xml:space="preserve"> – </w:t>
            </w:r>
            <w:r>
              <w:rPr>
                <w:lang w:val="en-US"/>
              </w:rPr>
              <w:t xml:space="preserve">34. </w:t>
            </w:r>
            <w:r w:rsidRPr="00F64A76">
              <w:rPr>
                <w:lang w:val="en-US"/>
              </w:rPr>
              <w:t>Reference not used in manuscript.</w:t>
            </w:r>
          </w:p>
          <w:p w:rsidR="000C2F75" w:rsidRPr="00F64A76" w:rsidRDefault="000C2F75" w:rsidP="00C22091">
            <w:pPr>
              <w:pStyle w:val="ListParagraph"/>
              <w:ind w:left="284"/>
              <w:jc w:val="both"/>
              <w:rPr>
                <w:lang w:val="en-US"/>
              </w:rPr>
            </w:pPr>
          </w:p>
        </w:tc>
        <w:tc>
          <w:tcPr>
            <w:tcW w:w="5103" w:type="dxa"/>
          </w:tcPr>
          <w:p w:rsidR="00783D62" w:rsidRDefault="00F64A76" w:rsidP="00C22091">
            <w:pPr>
              <w:jc w:val="both"/>
              <w:rPr>
                <w:lang w:val="en-US"/>
              </w:rPr>
            </w:pPr>
            <w:r>
              <w:rPr>
                <w:lang w:val="en-US"/>
              </w:rPr>
              <w:t xml:space="preserve">These references were taken out. </w:t>
            </w:r>
          </w:p>
        </w:tc>
      </w:tr>
    </w:tbl>
    <w:p w:rsidR="00166001" w:rsidRDefault="00166001" w:rsidP="00C22091">
      <w:pPr>
        <w:jc w:val="both"/>
        <w:rPr>
          <w:lang w:val="en-US"/>
        </w:rPr>
      </w:pPr>
    </w:p>
    <w:tbl>
      <w:tblPr>
        <w:tblStyle w:val="TableGrid"/>
        <w:tblW w:w="9606" w:type="dxa"/>
        <w:tblLayout w:type="fixed"/>
        <w:tblLook w:val="04A0"/>
      </w:tblPr>
      <w:tblGrid>
        <w:gridCol w:w="4503"/>
        <w:gridCol w:w="5103"/>
      </w:tblGrid>
      <w:tr w:rsidR="008608FA" w:rsidRPr="005F4313" w:rsidTr="007A7965">
        <w:tc>
          <w:tcPr>
            <w:tcW w:w="4503" w:type="dxa"/>
          </w:tcPr>
          <w:p w:rsidR="008608FA" w:rsidRPr="005F4313" w:rsidRDefault="008608FA" w:rsidP="00C22091">
            <w:pPr>
              <w:jc w:val="both"/>
              <w:rPr>
                <w:u w:val="single"/>
                <w:lang w:val="en-US"/>
              </w:rPr>
            </w:pPr>
            <w:r w:rsidRPr="005F4313">
              <w:rPr>
                <w:u w:val="single"/>
                <w:lang w:val="en-US"/>
              </w:rPr>
              <w:t>Comments</w:t>
            </w:r>
            <w:r>
              <w:rPr>
                <w:u w:val="single"/>
                <w:lang w:val="en-US"/>
              </w:rPr>
              <w:t xml:space="preserve"> (61-202-1-RV)</w:t>
            </w:r>
          </w:p>
        </w:tc>
        <w:tc>
          <w:tcPr>
            <w:tcW w:w="5103" w:type="dxa"/>
          </w:tcPr>
          <w:p w:rsidR="008608FA" w:rsidRPr="005F4313" w:rsidRDefault="008608FA" w:rsidP="00C22091">
            <w:pPr>
              <w:jc w:val="both"/>
              <w:rPr>
                <w:u w:val="single"/>
                <w:lang w:val="en-US"/>
              </w:rPr>
            </w:pPr>
            <w:r w:rsidRPr="005F4313">
              <w:rPr>
                <w:u w:val="single"/>
                <w:lang w:val="en-US"/>
              </w:rPr>
              <w:t>Response</w:t>
            </w:r>
            <w:r>
              <w:rPr>
                <w:u w:val="single"/>
                <w:lang w:val="en-US"/>
              </w:rPr>
              <w:t>/Correction</w:t>
            </w:r>
          </w:p>
        </w:tc>
      </w:tr>
      <w:tr w:rsidR="008608FA" w:rsidTr="007A7965">
        <w:tc>
          <w:tcPr>
            <w:tcW w:w="4503" w:type="dxa"/>
          </w:tcPr>
          <w:p w:rsidR="008608FA" w:rsidRDefault="008608FA" w:rsidP="00C22091">
            <w:pPr>
              <w:pStyle w:val="ListParagraph"/>
              <w:numPr>
                <w:ilvl w:val="0"/>
                <w:numId w:val="3"/>
              </w:numPr>
              <w:ind w:left="284" w:hanging="284"/>
              <w:jc w:val="both"/>
              <w:rPr>
                <w:lang w:val="en-US"/>
              </w:rPr>
            </w:pPr>
            <w:r w:rsidRPr="008608FA">
              <w:rPr>
                <w:lang w:val="en-US"/>
              </w:rPr>
              <w:t>Change the ‘ED’ used in the in the abstract to ‘exposure draft’</w:t>
            </w:r>
          </w:p>
          <w:p w:rsidR="008608FA" w:rsidRPr="005F4313" w:rsidRDefault="008608FA" w:rsidP="00C22091">
            <w:pPr>
              <w:pStyle w:val="ListParagraph"/>
              <w:ind w:left="284"/>
              <w:jc w:val="both"/>
              <w:rPr>
                <w:lang w:val="en-US"/>
              </w:rPr>
            </w:pPr>
          </w:p>
        </w:tc>
        <w:tc>
          <w:tcPr>
            <w:tcW w:w="5103" w:type="dxa"/>
          </w:tcPr>
          <w:p w:rsidR="008608FA" w:rsidRDefault="008608FA" w:rsidP="00C22091">
            <w:pPr>
              <w:jc w:val="both"/>
              <w:rPr>
                <w:lang w:val="en-US"/>
              </w:rPr>
            </w:pPr>
            <w:r>
              <w:rPr>
                <w:lang w:val="en-US"/>
              </w:rPr>
              <w:t>We changed ED to exposure draft as indicated.</w:t>
            </w:r>
          </w:p>
          <w:p w:rsidR="008608FA" w:rsidRDefault="008608FA" w:rsidP="00C22091">
            <w:pPr>
              <w:jc w:val="both"/>
              <w:rPr>
                <w:lang w:val="en-US"/>
              </w:rPr>
            </w:pPr>
          </w:p>
        </w:tc>
      </w:tr>
      <w:tr w:rsidR="008608FA" w:rsidTr="007A7965">
        <w:tc>
          <w:tcPr>
            <w:tcW w:w="4503" w:type="dxa"/>
          </w:tcPr>
          <w:p w:rsidR="008608FA" w:rsidRDefault="008608FA" w:rsidP="00C22091">
            <w:pPr>
              <w:pStyle w:val="ListParagraph"/>
              <w:numPr>
                <w:ilvl w:val="0"/>
                <w:numId w:val="3"/>
              </w:numPr>
              <w:ind w:left="284" w:hanging="284"/>
              <w:jc w:val="both"/>
              <w:rPr>
                <w:lang w:val="en-US"/>
              </w:rPr>
            </w:pPr>
            <w:r w:rsidRPr="008608FA">
              <w:rPr>
                <w:lang w:val="en-US"/>
              </w:rPr>
              <w:t>Insert ‘based on user requirements’ at the end of the first sentence of the third paragraph of the abstract</w:t>
            </w:r>
          </w:p>
          <w:p w:rsidR="008608FA" w:rsidRPr="00581FFB" w:rsidRDefault="008608FA" w:rsidP="00C22091">
            <w:pPr>
              <w:pStyle w:val="ListParagraph"/>
              <w:ind w:left="284"/>
              <w:jc w:val="both"/>
              <w:rPr>
                <w:lang w:val="en-US"/>
              </w:rPr>
            </w:pPr>
          </w:p>
        </w:tc>
        <w:tc>
          <w:tcPr>
            <w:tcW w:w="5103" w:type="dxa"/>
          </w:tcPr>
          <w:p w:rsidR="008608FA" w:rsidRDefault="008608FA" w:rsidP="00C22091">
            <w:pPr>
              <w:jc w:val="both"/>
              <w:rPr>
                <w:lang w:val="en-US"/>
              </w:rPr>
            </w:pPr>
            <w:r>
              <w:rPr>
                <w:lang w:val="en-US"/>
              </w:rPr>
              <w:t>The sentence was amended as indicated.</w:t>
            </w:r>
          </w:p>
        </w:tc>
      </w:tr>
      <w:tr w:rsidR="008608FA" w:rsidTr="007A7965">
        <w:tc>
          <w:tcPr>
            <w:tcW w:w="4503" w:type="dxa"/>
          </w:tcPr>
          <w:p w:rsidR="008608FA" w:rsidRDefault="008608FA" w:rsidP="00C22091">
            <w:pPr>
              <w:pStyle w:val="ListParagraph"/>
              <w:numPr>
                <w:ilvl w:val="0"/>
                <w:numId w:val="3"/>
              </w:numPr>
              <w:ind w:left="284" w:hanging="284"/>
              <w:jc w:val="both"/>
              <w:rPr>
                <w:lang w:val="en-US"/>
              </w:rPr>
            </w:pPr>
            <w:r w:rsidRPr="008608FA">
              <w:rPr>
                <w:lang w:val="en-US"/>
              </w:rPr>
              <w:t>Insert ‘accounting’ before ‘practitioners’ in the second sentence of the third paragraph of the abstract.</w:t>
            </w:r>
          </w:p>
          <w:p w:rsidR="008608FA" w:rsidRPr="00581FFB" w:rsidRDefault="008608FA" w:rsidP="00C22091">
            <w:pPr>
              <w:pStyle w:val="ListParagraph"/>
              <w:ind w:left="284"/>
              <w:jc w:val="both"/>
              <w:rPr>
                <w:lang w:val="en-US"/>
              </w:rPr>
            </w:pPr>
          </w:p>
        </w:tc>
        <w:tc>
          <w:tcPr>
            <w:tcW w:w="5103" w:type="dxa"/>
          </w:tcPr>
          <w:p w:rsidR="008608FA" w:rsidRDefault="008608FA" w:rsidP="00C22091">
            <w:pPr>
              <w:jc w:val="both"/>
              <w:rPr>
                <w:lang w:val="en-US"/>
              </w:rPr>
            </w:pPr>
            <w:r>
              <w:rPr>
                <w:lang w:val="en-US"/>
              </w:rPr>
              <w:lastRenderedPageBreak/>
              <w:t>The word “accounting” was inserted as indicated.</w:t>
            </w:r>
          </w:p>
        </w:tc>
      </w:tr>
      <w:tr w:rsidR="008608FA" w:rsidTr="007A7965">
        <w:tc>
          <w:tcPr>
            <w:tcW w:w="4503" w:type="dxa"/>
          </w:tcPr>
          <w:p w:rsidR="008608FA" w:rsidRDefault="00D708B9" w:rsidP="00C22091">
            <w:pPr>
              <w:pStyle w:val="ListParagraph"/>
              <w:numPr>
                <w:ilvl w:val="0"/>
                <w:numId w:val="3"/>
              </w:numPr>
              <w:ind w:left="284" w:hanging="284"/>
              <w:jc w:val="both"/>
              <w:rPr>
                <w:lang w:val="en-US"/>
              </w:rPr>
            </w:pPr>
            <w:r w:rsidRPr="00D708B9">
              <w:rPr>
                <w:lang w:val="en-US"/>
              </w:rPr>
              <w:lastRenderedPageBreak/>
              <w:t>The two sentences in par 2.2 starting with ‘Anacoreta and Silva …..’ must be revisited. What ‘responses’ were received by the IASB? ‘IASB questions…..’ to be answered by whom, why?</w:t>
            </w:r>
          </w:p>
          <w:p w:rsidR="00D708B9" w:rsidRPr="00581FFB" w:rsidRDefault="00D708B9" w:rsidP="00C22091">
            <w:pPr>
              <w:pStyle w:val="ListParagraph"/>
              <w:ind w:left="284"/>
              <w:jc w:val="both"/>
              <w:rPr>
                <w:lang w:val="en-US"/>
              </w:rPr>
            </w:pPr>
          </w:p>
        </w:tc>
        <w:tc>
          <w:tcPr>
            <w:tcW w:w="5103" w:type="dxa"/>
          </w:tcPr>
          <w:p w:rsidR="008608FA" w:rsidRDefault="00D708B9" w:rsidP="00C22091">
            <w:pPr>
              <w:jc w:val="both"/>
              <w:rPr>
                <w:lang w:val="en-US"/>
              </w:rPr>
            </w:pPr>
            <w:r>
              <w:rPr>
                <w:lang w:val="en-US"/>
              </w:rPr>
              <w:t>The sentence was amended as follows: …</w:t>
            </w:r>
            <w:r w:rsidRPr="00D708B9">
              <w:rPr>
                <w:lang w:val="en-US"/>
              </w:rPr>
              <w:t>in connection with the IASB’s preliminary views on international accounting standards for small and medium-size entities</w:t>
            </w:r>
            <w:r>
              <w:rPr>
                <w:lang w:val="en-US"/>
              </w:rPr>
              <w:t>.</w:t>
            </w:r>
          </w:p>
        </w:tc>
      </w:tr>
      <w:tr w:rsidR="008608FA" w:rsidTr="007A7965">
        <w:tc>
          <w:tcPr>
            <w:tcW w:w="4503" w:type="dxa"/>
          </w:tcPr>
          <w:p w:rsidR="008608FA" w:rsidRDefault="00D708B9" w:rsidP="00C22091">
            <w:pPr>
              <w:pStyle w:val="ListParagraph"/>
              <w:numPr>
                <w:ilvl w:val="0"/>
                <w:numId w:val="3"/>
              </w:numPr>
              <w:ind w:left="284" w:hanging="284"/>
              <w:jc w:val="both"/>
              <w:rPr>
                <w:lang w:val="en-US"/>
              </w:rPr>
            </w:pPr>
            <w:r w:rsidRPr="00D708B9">
              <w:rPr>
                <w:lang w:val="en-US"/>
              </w:rPr>
              <w:t>Edit ‘2.4. Different levels of development’. The italic t must be corrected.</w:t>
            </w:r>
          </w:p>
          <w:p w:rsidR="00D708B9" w:rsidRPr="00581FFB" w:rsidRDefault="00D708B9" w:rsidP="00C22091">
            <w:pPr>
              <w:pStyle w:val="ListParagraph"/>
              <w:ind w:left="284"/>
              <w:jc w:val="both"/>
              <w:rPr>
                <w:lang w:val="en-US"/>
              </w:rPr>
            </w:pPr>
          </w:p>
        </w:tc>
        <w:tc>
          <w:tcPr>
            <w:tcW w:w="5103" w:type="dxa"/>
          </w:tcPr>
          <w:p w:rsidR="008608FA" w:rsidRDefault="00641863" w:rsidP="00C22091">
            <w:pPr>
              <w:jc w:val="both"/>
              <w:rPr>
                <w:lang w:val="en-US"/>
              </w:rPr>
            </w:pPr>
            <w:r>
              <w:rPr>
                <w:lang w:val="en-US"/>
              </w:rPr>
              <w:t>The italic “t” was corrected as indicated.</w:t>
            </w:r>
          </w:p>
        </w:tc>
      </w:tr>
      <w:tr w:rsidR="008608FA" w:rsidTr="007A7965">
        <w:tc>
          <w:tcPr>
            <w:tcW w:w="4503" w:type="dxa"/>
          </w:tcPr>
          <w:p w:rsidR="008608FA" w:rsidRDefault="00641863" w:rsidP="00C22091">
            <w:pPr>
              <w:pStyle w:val="ListParagraph"/>
              <w:numPr>
                <w:ilvl w:val="0"/>
                <w:numId w:val="3"/>
              </w:numPr>
              <w:ind w:left="284" w:hanging="284"/>
              <w:jc w:val="both"/>
              <w:rPr>
                <w:lang w:val="en-US"/>
              </w:rPr>
            </w:pPr>
            <w:r w:rsidRPr="00641863">
              <w:rPr>
                <w:lang w:val="en-US"/>
              </w:rPr>
              <w:t>Last paragraph of par 3. Remove ‘in’ in the first sentence between ‘SMEs’ and ‘against’.</w:t>
            </w:r>
          </w:p>
          <w:p w:rsidR="00641863" w:rsidRPr="00581FFB" w:rsidRDefault="00641863" w:rsidP="00C22091">
            <w:pPr>
              <w:pStyle w:val="ListParagraph"/>
              <w:ind w:left="284"/>
              <w:jc w:val="both"/>
              <w:rPr>
                <w:lang w:val="en-US"/>
              </w:rPr>
            </w:pPr>
          </w:p>
        </w:tc>
        <w:tc>
          <w:tcPr>
            <w:tcW w:w="5103" w:type="dxa"/>
          </w:tcPr>
          <w:p w:rsidR="008608FA" w:rsidRDefault="00641863" w:rsidP="00C22091">
            <w:pPr>
              <w:jc w:val="both"/>
              <w:rPr>
                <w:lang w:val="en-US"/>
              </w:rPr>
            </w:pPr>
            <w:r>
              <w:rPr>
                <w:lang w:val="en-US"/>
              </w:rPr>
              <w:t>The word “in” was removed as indicated.</w:t>
            </w:r>
          </w:p>
          <w:p w:rsidR="00641863" w:rsidRDefault="00641863" w:rsidP="00C22091">
            <w:pPr>
              <w:jc w:val="both"/>
              <w:rPr>
                <w:lang w:val="en-US"/>
              </w:rPr>
            </w:pPr>
          </w:p>
          <w:p w:rsidR="00641863" w:rsidRDefault="00641863" w:rsidP="00C22091">
            <w:pPr>
              <w:jc w:val="both"/>
              <w:rPr>
                <w:lang w:val="en-US"/>
              </w:rPr>
            </w:pPr>
          </w:p>
        </w:tc>
      </w:tr>
      <w:tr w:rsidR="008608FA" w:rsidTr="007A7965">
        <w:tc>
          <w:tcPr>
            <w:tcW w:w="4503" w:type="dxa"/>
          </w:tcPr>
          <w:p w:rsidR="008608FA" w:rsidRDefault="00641863" w:rsidP="00C22091">
            <w:pPr>
              <w:pStyle w:val="ListParagraph"/>
              <w:numPr>
                <w:ilvl w:val="0"/>
                <w:numId w:val="3"/>
              </w:numPr>
              <w:ind w:left="284" w:hanging="284"/>
              <w:jc w:val="both"/>
              <w:rPr>
                <w:lang w:val="en-US"/>
              </w:rPr>
            </w:pPr>
            <w:r w:rsidRPr="00641863">
              <w:rPr>
                <w:lang w:val="en-US"/>
              </w:rPr>
              <w:t>For clarity to the lay reader it should be considered to include some explanation of the group t-test. At the end of the second paragraph of par 4, the following can be included: ‘The t-test assesses whether the means of two groups are statistically different from each other.’</w:t>
            </w:r>
          </w:p>
          <w:p w:rsidR="00641863" w:rsidRPr="00581FFB" w:rsidRDefault="00641863" w:rsidP="00C22091">
            <w:pPr>
              <w:pStyle w:val="ListParagraph"/>
              <w:ind w:left="284"/>
              <w:jc w:val="both"/>
              <w:rPr>
                <w:lang w:val="en-US"/>
              </w:rPr>
            </w:pPr>
          </w:p>
        </w:tc>
        <w:tc>
          <w:tcPr>
            <w:tcW w:w="5103" w:type="dxa"/>
          </w:tcPr>
          <w:p w:rsidR="008608FA" w:rsidRDefault="005133AA" w:rsidP="00C22091">
            <w:pPr>
              <w:jc w:val="both"/>
              <w:rPr>
                <w:lang w:val="en-US"/>
              </w:rPr>
            </w:pPr>
            <w:r>
              <w:rPr>
                <w:lang w:val="en-US"/>
              </w:rPr>
              <w:t xml:space="preserve">The sentence in paragraph 4 was amended to include: … </w:t>
            </w:r>
            <w:r w:rsidRPr="005133AA">
              <w:rPr>
                <w:lang w:val="en-US"/>
              </w:rPr>
              <w:t>and to assess whether the means of the two groups are statistically different from each other</w:t>
            </w:r>
            <w:r>
              <w:rPr>
                <w:lang w:val="en-US"/>
              </w:rPr>
              <w:t>.</w:t>
            </w:r>
          </w:p>
        </w:tc>
      </w:tr>
      <w:tr w:rsidR="008608FA" w:rsidTr="007A7965">
        <w:tc>
          <w:tcPr>
            <w:tcW w:w="4503" w:type="dxa"/>
          </w:tcPr>
          <w:p w:rsidR="008608FA" w:rsidRPr="00581FFB" w:rsidRDefault="005133AA" w:rsidP="00C22091">
            <w:pPr>
              <w:pStyle w:val="ListParagraph"/>
              <w:numPr>
                <w:ilvl w:val="0"/>
                <w:numId w:val="3"/>
              </w:numPr>
              <w:ind w:left="284" w:hanging="284"/>
              <w:jc w:val="both"/>
              <w:rPr>
                <w:lang w:val="en-US"/>
              </w:rPr>
            </w:pPr>
            <w:r w:rsidRPr="005133AA">
              <w:rPr>
                <w:lang w:val="en-US"/>
              </w:rPr>
              <w:t>Par 6 should be renamed: ‘Conclusions’</w:t>
            </w:r>
            <w:r>
              <w:rPr>
                <w:lang w:val="en-US"/>
              </w:rPr>
              <w:t>.</w:t>
            </w:r>
          </w:p>
        </w:tc>
        <w:tc>
          <w:tcPr>
            <w:tcW w:w="5103" w:type="dxa"/>
          </w:tcPr>
          <w:p w:rsidR="008608FA" w:rsidRDefault="0087624B" w:rsidP="00C22091">
            <w:pPr>
              <w:jc w:val="both"/>
              <w:rPr>
                <w:lang w:val="en-US"/>
              </w:rPr>
            </w:pPr>
            <w:r>
              <w:rPr>
                <w:lang w:val="en-US"/>
              </w:rPr>
              <w:t>The paragraph was renamed to “Conclusions.</w:t>
            </w:r>
          </w:p>
          <w:p w:rsidR="0087624B" w:rsidRDefault="0087624B" w:rsidP="00C22091">
            <w:pPr>
              <w:jc w:val="both"/>
              <w:rPr>
                <w:lang w:val="en-US"/>
              </w:rPr>
            </w:pPr>
          </w:p>
        </w:tc>
      </w:tr>
      <w:tr w:rsidR="005133AA" w:rsidTr="007A7965">
        <w:tc>
          <w:tcPr>
            <w:tcW w:w="4503" w:type="dxa"/>
          </w:tcPr>
          <w:p w:rsidR="005133AA" w:rsidRDefault="005133AA" w:rsidP="00C22091">
            <w:pPr>
              <w:pStyle w:val="ListParagraph"/>
              <w:numPr>
                <w:ilvl w:val="0"/>
                <w:numId w:val="3"/>
              </w:numPr>
              <w:ind w:left="284" w:hanging="284"/>
              <w:jc w:val="both"/>
              <w:rPr>
                <w:lang w:val="en-US"/>
              </w:rPr>
            </w:pPr>
            <w:r w:rsidRPr="005133AA">
              <w:rPr>
                <w:lang w:val="en-US"/>
              </w:rPr>
              <w:t>The conclusions in par 6 should be numbered to focus attention and for ease of reference</w:t>
            </w:r>
            <w:r>
              <w:rPr>
                <w:lang w:val="en-US"/>
              </w:rPr>
              <w:t>.</w:t>
            </w:r>
          </w:p>
          <w:p w:rsidR="0087624B" w:rsidRPr="00581FFB" w:rsidRDefault="0087624B" w:rsidP="00C22091">
            <w:pPr>
              <w:pStyle w:val="ListParagraph"/>
              <w:ind w:left="284"/>
              <w:jc w:val="both"/>
              <w:rPr>
                <w:lang w:val="en-US"/>
              </w:rPr>
            </w:pPr>
          </w:p>
        </w:tc>
        <w:tc>
          <w:tcPr>
            <w:tcW w:w="5103" w:type="dxa"/>
          </w:tcPr>
          <w:p w:rsidR="005133AA" w:rsidRDefault="0087624B" w:rsidP="00C22091">
            <w:pPr>
              <w:jc w:val="both"/>
              <w:rPr>
                <w:lang w:val="en-US"/>
              </w:rPr>
            </w:pPr>
            <w:r>
              <w:rPr>
                <w:lang w:val="en-US"/>
              </w:rPr>
              <w:t xml:space="preserve">The paragraphs were discussed in number sequence, namely: firstly, secondly, etc. </w:t>
            </w:r>
          </w:p>
        </w:tc>
      </w:tr>
    </w:tbl>
    <w:p w:rsidR="008608FA" w:rsidRDefault="008608FA" w:rsidP="00C22091">
      <w:pPr>
        <w:jc w:val="both"/>
        <w:rPr>
          <w:lang w:val="en-US"/>
        </w:rPr>
      </w:pPr>
    </w:p>
    <w:p w:rsidR="00E6443D" w:rsidRDefault="00E6443D" w:rsidP="00C22091">
      <w:pPr>
        <w:jc w:val="both"/>
        <w:rPr>
          <w:lang w:val="en-US"/>
        </w:rPr>
      </w:pPr>
    </w:p>
    <w:p w:rsidR="00E6443D" w:rsidRDefault="00E6443D" w:rsidP="00C22091">
      <w:pPr>
        <w:jc w:val="both"/>
        <w:rPr>
          <w:lang w:val="en-US"/>
        </w:rPr>
      </w:pPr>
    </w:p>
    <w:p w:rsidR="00E6443D" w:rsidRDefault="00E6443D" w:rsidP="00C22091">
      <w:pPr>
        <w:jc w:val="both"/>
        <w:rPr>
          <w:lang w:val="en-US"/>
        </w:rPr>
      </w:pPr>
    </w:p>
    <w:p w:rsidR="00E6443D" w:rsidRDefault="00E6443D" w:rsidP="00C22091">
      <w:pPr>
        <w:jc w:val="both"/>
        <w:rPr>
          <w:lang w:val="en-US"/>
        </w:rPr>
      </w:pPr>
      <w:r>
        <w:rPr>
          <w:lang w:val="en-US"/>
        </w:rPr>
        <w:t>Sincerely yours</w:t>
      </w:r>
    </w:p>
    <w:p w:rsidR="00E6443D" w:rsidRPr="007A7965" w:rsidRDefault="00E6443D" w:rsidP="00C22091">
      <w:pPr>
        <w:jc w:val="both"/>
        <w:rPr>
          <w:lang w:val="en-US"/>
        </w:rPr>
      </w:pPr>
    </w:p>
    <w:p w:rsidR="00E6443D" w:rsidRPr="007A7965" w:rsidRDefault="00E6443D" w:rsidP="00C22091">
      <w:pPr>
        <w:jc w:val="both"/>
        <w:rPr>
          <w:lang w:val="en-US"/>
        </w:rPr>
      </w:pPr>
      <w:r w:rsidRPr="007A7965">
        <w:rPr>
          <w:lang w:val="en-US"/>
        </w:rPr>
        <w:t>PW Buys and DP Schutte</w:t>
      </w:r>
    </w:p>
    <w:sectPr w:rsidR="00E6443D" w:rsidRPr="007A7965" w:rsidSect="002235C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BC" w:rsidRDefault="00A069BC" w:rsidP="00166001">
      <w:pPr>
        <w:spacing w:after="0" w:line="240" w:lineRule="auto"/>
      </w:pPr>
      <w:r>
        <w:separator/>
      </w:r>
    </w:p>
  </w:endnote>
  <w:endnote w:type="continuationSeparator" w:id="0">
    <w:p w:rsidR="00A069BC" w:rsidRDefault="00A069BC" w:rsidP="0016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6188"/>
      <w:docPartObj>
        <w:docPartGallery w:val="Page Numbers (Bottom of Page)"/>
        <w:docPartUnique/>
      </w:docPartObj>
    </w:sdtPr>
    <w:sdtContent>
      <w:p w:rsidR="007A7965" w:rsidRDefault="007A7965">
        <w:pPr>
          <w:pStyle w:val="Footer"/>
          <w:jc w:val="right"/>
        </w:pPr>
        <w:fldSimple w:instr=" PAGE   \* MERGEFORMAT ">
          <w:r w:rsidR="00470265">
            <w:rPr>
              <w:noProof/>
            </w:rPr>
            <w:t>1</w:t>
          </w:r>
        </w:fldSimple>
      </w:p>
    </w:sdtContent>
  </w:sdt>
  <w:p w:rsidR="007A7965" w:rsidRDefault="007A7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BC" w:rsidRDefault="00A069BC" w:rsidP="00166001">
      <w:pPr>
        <w:spacing w:after="0" w:line="240" w:lineRule="auto"/>
      </w:pPr>
      <w:r>
        <w:separator/>
      </w:r>
    </w:p>
  </w:footnote>
  <w:footnote w:type="continuationSeparator" w:id="0">
    <w:p w:rsidR="00A069BC" w:rsidRDefault="00A069BC" w:rsidP="00166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6CAB"/>
    <w:multiLevelType w:val="hybridMultilevel"/>
    <w:tmpl w:val="9FF61B0C"/>
    <w:lvl w:ilvl="0" w:tplc="04F0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74E08"/>
    <w:multiLevelType w:val="hybridMultilevel"/>
    <w:tmpl w:val="9FF61B0C"/>
    <w:lvl w:ilvl="0" w:tplc="04F0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33D16"/>
    <w:multiLevelType w:val="hybridMultilevel"/>
    <w:tmpl w:val="248ED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F4313"/>
    <w:rsid w:val="00020FA8"/>
    <w:rsid w:val="000C2F75"/>
    <w:rsid w:val="00166001"/>
    <w:rsid w:val="002235C7"/>
    <w:rsid w:val="00282403"/>
    <w:rsid w:val="002A3C3D"/>
    <w:rsid w:val="002F0944"/>
    <w:rsid w:val="00316647"/>
    <w:rsid w:val="003268B6"/>
    <w:rsid w:val="0039029F"/>
    <w:rsid w:val="00390A03"/>
    <w:rsid w:val="003D2729"/>
    <w:rsid w:val="00425993"/>
    <w:rsid w:val="00431238"/>
    <w:rsid w:val="00432737"/>
    <w:rsid w:val="00470265"/>
    <w:rsid w:val="004C1A21"/>
    <w:rsid w:val="005133AA"/>
    <w:rsid w:val="00527A15"/>
    <w:rsid w:val="005320E7"/>
    <w:rsid w:val="0057138E"/>
    <w:rsid w:val="00581FFB"/>
    <w:rsid w:val="005C07BC"/>
    <w:rsid w:val="005E72B0"/>
    <w:rsid w:val="005F4313"/>
    <w:rsid w:val="00641863"/>
    <w:rsid w:val="006A1A51"/>
    <w:rsid w:val="006B4679"/>
    <w:rsid w:val="00735982"/>
    <w:rsid w:val="00775A4D"/>
    <w:rsid w:val="00783D62"/>
    <w:rsid w:val="007A7965"/>
    <w:rsid w:val="007B4FC0"/>
    <w:rsid w:val="007C3CBB"/>
    <w:rsid w:val="007D29AD"/>
    <w:rsid w:val="007D7097"/>
    <w:rsid w:val="007E1521"/>
    <w:rsid w:val="007F79AA"/>
    <w:rsid w:val="007F7A51"/>
    <w:rsid w:val="00840E62"/>
    <w:rsid w:val="00852326"/>
    <w:rsid w:val="008608FA"/>
    <w:rsid w:val="00870C78"/>
    <w:rsid w:val="0087624B"/>
    <w:rsid w:val="008F67B2"/>
    <w:rsid w:val="00961BF7"/>
    <w:rsid w:val="009776D5"/>
    <w:rsid w:val="00987D59"/>
    <w:rsid w:val="009D2152"/>
    <w:rsid w:val="00A069BC"/>
    <w:rsid w:val="00AC37CE"/>
    <w:rsid w:val="00B7206F"/>
    <w:rsid w:val="00BC49C4"/>
    <w:rsid w:val="00BF3AA8"/>
    <w:rsid w:val="00C22091"/>
    <w:rsid w:val="00C62C98"/>
    <w:rsid w:val="00C6362C"/>
    <w:rsid w:val="00CC2476"/>
    <w:rsid w:val="00CC7605"/>
    <w:rsid w:val="00D708B9"/>
    <w:rsid w:val="00E6443D"/>
    <w:rsid w:val="00ED0C85"/>
    <w:rsid w:val="00ED3428"/>
    <w:rsid w:val="00F153B4"/>
    <w:rsid w:val="00F64A76"/>
    <w:rsid w:val="00F9544E"/>
    <w:rsid w:val="00FF0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13"/>
    <w:pPr>
      <w:ind w:left="720"/>
      <w:contextualSpacing/>
    </w:pPr>
  </w:style>
  <w:style w:type="table" w:styleId="TableGrid">
    <w:name w:val="Table Grid"/>
    <w:basedOn w:val="TableNormal"/>
    <w:uiPriority w:val="59"/>
    <w:rsid w:val="005F43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83D62"/>
    <w:rPr>
      <w:color w:val="0000FF" w:themeColor="hyperlink"/>
      <w:u w:val="single"/>
    </w:rPr>
  </w:style>
  <w:style w:type="character" w:styleId="FollowedHyperlink">
    <w:name w:val="FollowedHyperlink"/>
    <w:basedOn w:val="DefaultParagraphFont"/>
    <w:uiPriority w:val="99"/>
    <w:semiHidden/>
    <w:unhideWhenUsed/>
    <w:rsid w:val="00783D62"/>
    <w:rPr>
      <w:color w:val="800080" w:themeColor="followedHyperlink"/>
      <w:u w:val="single"/>
    </w:rPr>
  </w:style>
  <w:style w:type="paragraph" w:styleId="Header">
    <w:name w:val="header"/>
    <w:basedOn w:val="Normal"/>
    <w:link w:val="HeaderChar"/>
    <w:uiPriority w:val="99"/>
    <w:semiHidden/>
    <w:unhideWhenUsed/>
    <w:rsid w:val="00166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001"/>
    <w:rPr>
      <w:lang w:val="en-GB"/>
    </w:rPr>
  </w:style>
  <w:style w:type="paragraph" w:styleId="Footer">
    <w:name w:val="footer"/>
    <w:basedOn w:val="Normal"/>
    <w:link w:val="FooterChar"/>
    <w:uiPriority w:val="99"/>
    <w:unhideWhenUsed/>
    <w:rsid w:val="0016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01"/>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frs.iasb.org/eifrs/sme/en/IFRSforSMEs%202009%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7C3D-4542-47F5-93B2-2F5F4F2B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2010-08-16T13:20:00Z</dcterms:created>
  <dcterms:modified xsi:type="dcterms:W3CDTF">2010-08-27T04:58:00Z</dcterms:modified>
</cp:coreProperties>
</file>